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ATAS/717/2016 vom 12. September 2016</w:t>
      </w:r>
    </w:p>
    <w:p>
      <w:r>
        <w:t>GE Cour de justice, 2016-09-12, FR</w:t>
      </w:r>
    </w:p>
    <w:p>
      <w:r>
        <w:rPr>
          <w:b/>
        </w:rPr>
        <w:t xml:space="preserve">Quelle: </w:t>
      </w:r>
      <w:r>
        <w:t>https://mcp.opencaselaw.ch/entscheid/ge_gerichte_ATAS_717_2016</w:t>
      </w:r>
    </w:p>
    <w:p>
      <w:r>
        <w:t>FR: GE_GERICHTE ATAS/717/2016 du 12 septembre 2016</w:t>
      </w:r>
    </w:p>
    <w:p>
      <w:r>
        <w:t>IT: GE_GERICHTE ATAS/717/2016 del 12 settembre 2016</w:t>
      </w:r>
    </w:p>
    <w:p>
      <w:pPr>
        <w:pStyle w:val="Heading2"/>
      </w:pPr>
      <w:r>
        <w:t>Erwägungen</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A/3164/2015 - 20/22 -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11</w:t>
      </w:r>
    </w:p>
    <w:p>
      <w:r>
        <w:t>En l’occurrence et conformément aux conclusions du Dr G______, l’assurée présentait une capacité de travail de 75% dans son activité habituelle lorsque la décision entreprise a été rendue. Compte tenu du fait que la capacité résiduelle de travail de la recourante est exploitable dans son activité habituelle, le degré d’invalidité se confond avec l’incapacité de travail, soit en l’espèce 25%. Ce degré d’invalidité est inférieur au seuil de 40% permettant l’octroi d’une rente d’invalidité, à teneur de l’art. 28 al. 2 LAI. Dans la mesure où la recourante est toujours en mesure d’exercer son activité habituelle à 75%, aucune mesure professionnelle ne se justifie en l’occurrence, étant précisé que la recourante a pu bénéficier de plusieurs cours et d’une remise à niveau pris en charge par l’intimé dans le cadre des mesures d’interventions précoces.</w:t>
      </w:r>
    </w:p>
    <w:p>
      <w:r>
        <w:t>A/3164/2015 - 21/22 - Compte tenu de ces éléments, la décision querellée doit être confirmée sur ces points également et les griefs de la recourante écartés.</w:t>
      </w:r>
    </w:p>
    <w:p>
      <w:r>
        <w:rPr>
          <w:b/>
        </w:rPr>
        <w:t>E. 12</w:t>
      </w:r>
    </w:p>
    <w:p>
      <w:r>
        <w:t>Au vu de ce qui précède, le recours sera rejeté. Etant donné que depuis le 1er juillet 2006, la procédure n'est plus gratuite (art. 69 al. 1bis LAI), il y a lieu de condamner le recourant au paiement d'un émolument de CHF 200.-.</w:t>
      </w:r>
    </w:p>
    <w:p>
      <w:r>
        <w:t>A/3164/2015 - 22/22 -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