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ATAS/717/2014 vom 12. Juni 2014</w:t>
      </w:r>
    </w:p>
    <w:p>
      <w:r>
        <w:t>GE Cour de justice, 2014-06-12, FR</w:t>
      </w:r>
    </w:p>
    <w:p>
      <w:r>
        <w:rPr>
          <w:b/>
        </w:rPr>
        <w:t xml:space="preserve">Quelle: </w:t>
      </w:r>
      <w:r>
        <w:t>https://mcp.opencaselaw.ch/entscheid/ge_gerichte_ATAS_717_2014</w:t>
      </w:r>
    </w:p>
    <w:p>
      <w:r>
        <w:t>FR: GE_GERICHTE ATAS/717/2014 du 12 juin 2014</w:t>
      </w:r>
    </w:p>
    <w:p>
      <w:r>
        <w:t>IT: GE_GERICHTE ATAS/717/2014 del 12 giugno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[LPFC ; RS GE J 4 20]) auprès du tribunal des assurances du canton de domicile de l’assuré (art. 58 al. 1 LPGA). Les délais fixés par la loi ne courent pas du 15 juillet au 15 août inclusivement (art. 38 al. 4 LPGA). b) S’agissant des prestations complémentaire cantonales, l’art. 43 LPCC ouvre les mêmes voies de droit. c) En l’espèce, le recours a été déposé dans les forme et délai imposés par la loi, de sorte qu’il est recevable.</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al. 1 let. b LPCC). A ce stade de la procédure, le litige se limite à la question du montant retenu par l’intimé à titre de revenu dans le calcul du droit aux prestations de la recourante. En effet, dans la décision litigieuse, l’intimé a considéré que l’intéressée avait continué à travailler, ce que celle-ci conteste.</w:t>
      </w:r>
    </w:p>
    <w:p>
      <w:r>
        <w:rPr>
          <w:b/>
        </w:rPr>
        <w:t>E. 4</w:t>
      </w:r>
    </w:p>
    <w:p>
      <w:r>
        <w:t>Condamne l’intimé à verser à la recourante la somme de CHF 500.-. à titre de participation à ses frais et dépens.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