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ATAS/717/2012 vom 18. Mai 2012</w:t>
      </w:r>
    </w:p>
    <w:p>
      <w:r>
        <w:t>GE Cour de justice, 2012-05-18, FR</w:t>
      </w:r>
    </w:p>
    <w:p>
      <w:r>
        <w:rPr>
          <w:b/>
        </w:rPr>
        <w:t xml:space="preserve">Quelle: </w:t>
      </w:r>
      <w:r>
        <w:t>https://mcp.opencaselaw.ch/entscheid/ge_gerichte_ATAS_717_2012</w:t>
      </w:r>
    </w:p>
    <w:p>
      <w:r>
        <w:t>FR: GE_GERICHTE ATAS/717/2012 du 18 mai 2012</w:t>
      </w:r>
    </w:p>
    <w:p>
      <w:r>
        <w:t>IT: GE_GERICHTE ATAS/717/2012 del 18 maggio 2012</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Chambre des assurances sociales de la Cour de justice, laquelle reprend la procédure pendante devant le</w:t>
      </w:r>
    </w:p>
    <w:p>
      <w:r>
        <w:t>A/3368/2010 - 6/10 - Tribunal cantonal des assurances sociales (art. 143 al. 6 de la LOJ du 26 septembre 2010). La compétence de la Cour de céans pour juger du cas d’espèce est ainsi établie.</w:t>
      </w:r>
    </w:p>
    <w:p>
      <w:r>
        <w:rPr>
          <w:b/>
        </w:rPr>
        <w:t>E. 2</w:t>
      </w:r>
    </w:p>
    <w:p>
      <w:r>
        <w:t>Interjeté dans les formes et délai prévus par la loi, le recours est recevable (art. 56 à 61 LPGA).</w:t>
      </w:r>
    </w:p>
    <w:p>
      <w:r>
        <w:rPr>
          <w:b/>
        </w:rPr>
        <w:t>E. 3</w:t>
      </w:r>
    </w:p>
    <w:p>
      <w:r>
        <w:t>Le litige porte sur la question de savoir si les troubles dont se prévaut le recourant lui ouvrent droit aux prestations d’assurance de la SUVA au titre de l’accident dont l’intéressé a été victime le 7 juillet 2008.</w:t>
      </w:r>
    </w:p>
    <w:p>
      <w:r>
        <w:rPr>
          <w:b/>
        </w:rPr>
        <w:t>E. 4</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Par ailleurs, en cas de rechutes ou de séquelles tardives, il incombe à l'assuré d'établir, au degré de vraisemblance prépondérante, l'existence d'un rapport de causalité naturelle entre la nouvelle atteinte et l'accident (cf. arrêt du 17 mai 2002 [U 293/01; consid. 1] résumé dans REAS 2002 p. 307). Il y a causalité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w:t>
      </w:r>
    </w:p>
    <w:p>
      <w:r>
        <w:t>A/3368/2010 - 7/10 - le droit à des prestations fondées sur l'accident assuré doit être nié (ATF 129 V 177 consid. 3.1, 129 V 402 consid. 4.3.1, 119 V 355 consid. 1, 118 V 286 consid. 1b et les références).</w:t>
      </w:r>
    </w:p>
    <w:p>
      <w:r>
        <w:rPr>
          <w:b/>
        </w:rPr>
        <w:t>E. 5</w:t>
      </w:r>
    </w:p>
    <w:p>
      <w:r>
        <w:t>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 permet pas encore de douter de l'objectivité de son appréciation ni de soupçonner une prévention à l'égard de l'assuré (ATF 125 V 353 consid. 3b/ee).</w:t>
      </w:r>
    </w:p>
    <w:p>
      <w:r>
        <w:rPr>
          <w:b/>
        </w:rPr>
        <w:t>E. 6</w:t>
      </w:r>
    </w:p>
    <w:p>
      <w:r>
        <w:t>En l’espèce, sur le plan physique, force est de constater que l’examen neurologique pratiqué le 12 mars 2010 par le Dr B___________, s'est révélé normal, tout comme celui précédemment pratiqué par la CRR. Le médecin traitant lui-même, dont le</w:t>
      </w:r>
    </w:p>
    <w:p>
      <w:r>
        <w:t>A/3368/2010 - 8/10 - recourant se prévaut pourtant, a conclu en date du 21 décembre 2009 - soit postérieurement à la rechute annoncée par l’assuré en novembre 2009 - à une reprise du travail, qu’il a confirmée par la suite, le 27 mai 2010, date à laquelle il a même qualifié l’état de santé de l’assuré de « bon ». Force est de constater que le recourant n’avance aucun argument objectif permettant de mettre en cause les conclusions des Drs B___________, D___________ et C___________, conclusions dont il convient de rappeler qu’elles corroborent celles de la CRR. Le seul grief du recourant est finalement de n’avoir pu bénéficier de l’aide d’un interprète somalien. On rappellera cependant qu’il revient à l’expert d’apprécier l’opportunité d’avoir recours à un interprète. Quoi qu’il en soit, l’absence d’un interprète ne peut avoir joué grand rôle lors de l’examen neurologique du Dr B___________ puisque celui-ci a essentiellement consisté à examiner cliniquement l’assuré et à interpréter les clichés disponibles. Les mêmes remarques s’imposent s’agissant de l’examen du Dr D___________. La question est plus délicate s’agissant de l’examen psychiatrique du Dr C___________, qui a admis que l'entretien avait été rendu difficile tant par la mauvaise compréhension de la langue que les difficultés d'expression de l’assuré mais la question de savoir si l’absence d’interprète a eu des conséquences ou non peut rester ouverte dès lors que même si l’on admettait l’existence de troubles psychiques - ce qui apparait au demeurant fort douteux au vu des divers avis médicaux versés au dossier - l’existence d’un lien de causalité adéquate avec l’accident devrait en tous les cas être niée. En effet, le droit à des prestations découlant d'un accident assuré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Il convient tout d’abord de distinguer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140 consid. 6c/aa et 409 consid. 5c/aa).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w:t>
      </w:r>
    </w:p>
    <w:p>
      <w:r>
        <w:t>A/3368/2010 - 9/10 -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voir également ATF 123 V 98 consid. 2a; RAMA 2002 n° U 470 p. 531). En l’occurrence, il y a lieu d’admettre que l’accident - une collision à faible vitesse entre un piéton et une automobile - doit être qualifié de gravité moyenne. Or, les critères rappelés ci-dessus ne sont manifestement pas remplis dans la mesure où cet accident n’a pas été entouré de circonstances dramatiques ni impressionnantes - l’assuré n’a pas vu le véhicule arriver -, qu'il n'a entraîné aucune lésion grave, que le traitement des lésions s'est très vite limité à la prise d'antalgiques et à la mise en œuvre de quelques séances de physiothérapie, qu'aucune erreur ou complication importante dans le traitement n'est à déplorer et qu'avant l'annonce de sa rechute l'assuré avait recouvré pendant près d'une année une capacité de travail entière. Eu égard aux considérations qui précèdent, c’est donc à juste titre que l’intimée a mis un terme à ses prestations faute de lien de causalité adéquate entre l’accident et les troubles allégués par l’assuré. Le recours est donc rejeté.</w:t>
      </w:r>
    </w:p>
    <w:p>
      <w:r>
        <w:t>A/3368/2010 - 10/10 -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