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ATAS/717/2011 vom 20. Juli 2011</w:t>
      </w:r>
    </w:p>
    <w:p>
      <w:r>
        <w:t>GE Cour de justice, 2011-07-20, FR</w:t>
      </w:r>
    </w:p>
    <w:p>
      <w:r>
        <w:rPr>
          <w:b/>
        </w:rPr>
        <w:t xml:space="preserve">Quelle: </w:t>
      </w:r>
      <w:r>
        <w:t>https://mcp.opencaselaw.ch/entscheid/ge_gerichte_ATAS_717_2011</w:t>
      </w:r>
    </w:p>
    <w:p>
      <w:r>
        <w:t>FR: GE_GERICHTE ATAS/717/2011 du 20 juillet 2011</w:t>
      </w:r>
    </w:p>
    <w:p>
      <w:r>
        <w:t>IT: GE_GERICHTE ATAS/717/2011 del 20 luglio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(56 et 60 LPGA).</w:t>
      </w:r>
    </w:p>
    <w:p>
      <w:r>
        <w:rPr>
          <w:b/>
        </w:rPr>
        <w:t>E. 4</w:t>
      </w:r>
    </w:p>
    <w:p>
      <w:r>
        <w:t>La décision incidente litigieuse prise par l’intimé en procédure de révision prononçant la suspension des prestations AI (rente d’invalidité et rentes complémentaires pour les trois enfants du recourant) dès le 30 novembre 2010, est une mesure provisionnelle fondée sur l’art. 55 al. 1 LPGA, en relation avec l’art. 56 de la loi fédérale sur la procédure administrative, du 20 décembre 1968 (PA ; RS 172.021), assortie d’un retrait d’effet suspensif. Le litige porte sur le bien-fondé de la décision de suspension, le recourant sollicitant préalablement le rétablissement de l’effet suspensif. Il convient en premier lieu de statuer sur cette requête.</w:t>
      </w:r>
    </w:p>
    <w:p>
      <w:r>
        <w:rPr>
          <w:b/>
        </w:rPr>
        <w:t>E. 5</w:t>
      </w:r>
    </w:p>
    <w:p>
      <w:r>
        <w:t>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PA. L'art. 61 LPGA, qui</w:t>
      </w:r>
    </w:p>
    <w:p>
      <w:r>
        <w:t>A/1903/2011 - 6/8 -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P.-S. du 24 février 2004). Ainsi,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p. 88, 117 V 191 consid. 2b et les références).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w:t>
      </w:r>
    </w:p>
    <w:p>
      <w:r>
        <w:t>A/1903/2011 - 7/8 -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6</w:t>
      </w:r>
    </w:p>
    <w:p>
      <w:r>
        <w:t>En l’espèce, l’intimé motive le retrait de l’effet suspensif à sa décision de suspension des prestations par le fait qu’elle détiendrait des renseignements selon lesquels le recourant travaille en tant qu’indépendant depuis juillet 2000. Il existe dès lors un soupçon de perception illicite de prestations, raison pour laquelle le retrait de l’effet suspensif se justifie jusqu’à ce que la procédure de révision du droit à la rente se termine, des enquêtes supplémentaires étant en cours. Pour l’intimé, son intérêt est prédominant, car il est à craindre, dans l’hypothèse où le recourant n’obtiendrait pas gain de cause sur le fond, que la procédure en restitution des prestations versées à tort se révèle infructueuse. Le recourant, quant à lui, allègue que son intérêt à percevoir sa rente ainsi que celles en faveur de ses trois enfants durant la procédure de révision doit l’emporter sur celui de l’intimé, eu égard à son état de santé gravement déficient et sa totale incapacité de travail. Il invoque une situation économique extrêmement difficile, dans la mesure où une telle mesure le prive, lui et ses enfants, des moyens de subsistance. A ce stade de la procédure, il n’est pas possible d’affirmer que le recourant obtiendra sans aucun doute gain de cause. La question devra faire l’objet d’un examen approfondi sur le fond. Au surplus, la question devrait sans doute pouvoir être rapidement tranchée, les parties devant se rencontrer le 27 juillet prochain. Le retrait de l’effet suspensif est en l’état justifié. Partant, la demande de rétablissement de l’effet suspensif est rejetée.</w:t>
      </w:r>
    </w:p>
    <w:p>
      <w:r>
        <w:rPr>
          <w:b/>
        </w:rPr>
        <w:t>E. 7</w:t>
      </w:r>
    </w:p>
    <w:p>
      <w:r>
        <w:t>Au vu de la nature du litige, il n’y a pas lieu de percevoir un émolument (cf. art. 69 al.1bis LAI).</w:t>
      </w:r>
    </w:p>
    <w:p>
      <w:r>
        <w:t>A/1903/2011 - 8/8 - PAR CES MOTIFS, LA CHAMBRE DES ASSURANCES SOCIALES : Statuant sur incident A la forme : 1. Déclare le recours recevable. Sur incident : 2. Rejette la requête en rétablissement de l’effet suspensif. Au fond : 3. Réserve le fond. 4. Dit qu’il n’est pas perçu d’émolument.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