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ATAS/716/2009 vom 2. Juni 2009</w:t>
      </w:r>
    </w:p>
    <w:p>
      <w:r>
        <w:t>GE Cour de justice, 2009-06-02, FR</w:t>
      </w:r>
    </w:p>
    <w:p>
      <w:r>
        <w:rPr>
          <w:b/>
        </w:rPr>
        <w:t xml:space="preserve">Quelle: </w:t>
      </w:r>
      <w:r>
        <w:t>https://mcp.opencaselaw.ch/entscheid/ge_gerichte_ATAS_716_2009</w:t>
      </w:r>
    </w:p>
    <w:p>
      <w:r>
        <w:t>FR: GE_GERICHTE ATAS/716/2009 du 2 juin 2009</w:t>
      </w:r>
    </w:p>
    <w:p>
      <w:r>
        <w:t>IT: GE_GERICHTE ATAS/716/2009 del 2 giugno 2009</w:t>
      </w:r>
    </w:p>
    <w:p>
      <w:pPr>
        <w:pStyle w:val="Heading2"/>
      </w:pPr>
      <w:r>
        <w:t>Erwägungen</w:t>
      </w:r>
    </w:p>
    <w:p>
      <w:r>
        <w:rPr>
          <w:b/>
        </w:rPr>
        <w:t>E. 1</w:t>
      </w:r>
    </w:p>
    <w:p>
      <w:r>
        <w:t>Conformément à l'art. 56V al. 1 let. a ch. 2 de la loi genevoise sur l'organisation judiciaire (LOJ), le Tribunal cantonal des assurances sociales connaît en instance unique des contestations prévues à l’article 56 de la loi fédérale sur la partie générale du droit des assurances sociales du 6 octobre 2000 (LPGA) qui sont relatives à la loi fédérale sur l’assurance-invalidité du 19 juin 1959 (LAI). Sa compétence pour juger du cas d’espèce est ainsi établie.</w:t>
      </w:r>
    </w:p>
    <w:p>
      <w:r>
        <w:rPr>
          <w:b/>
        </w:rPr>
        <w:t>E. 2</w:t>
      </w:r>
    </w:p>
    <w:p>
      <w:r>
        <w:t>Interjeté dans les forme et délai légaux, le recours est recevable (art. 56 à 60 LPGA).</w:t>
      </w:r>
    </w:p>
    <w:p>
      <w:r>
        <w:rPr>
          <w:b/>
        </w:rPr>
        <w:t>E. 3</w:t>
      </w:r>
    </w:p>
    <w:p>
      <w:r>
        <w:t>Les dispositions légales applicables ratione temporis ayant été déterminées dans l’ordonnance du 17 novembre 2008, il n’y sera pas revenu dans le présent arrêt.</w:t>
      </w:r>
    </w:p>
    <w:p>
      <w:r>
        <w:rPr>
          <w:b/>
        </w:rPr>
        <w:t>E. 4</w:t>
      </w:r>
    </w:p>
    <w:p>
      <w:r>
        <w:t>Est litigieuse en l’espèce la question de savoir si la recourante peut prétendre une rente de l’assurance-invalidité, singulièrement si elle présente une ou des affections invalidantes et quel est le taux d’invalidité.</w:t>
      </w:r>
    </w:p>
    <w:p>
      <w:r>
        <w:rPr>
          <w:b/>
        </w:rPr>
        <w:t>E. 5</w:t>
      </w:r>
    </w:p>
    <w:p>
      <w:r>
        <w:t>a) L’assuré a droit à une rente s’il est invalide à 40 % au moins. La rente est échelonnée comme suit, selon le taux d’invalidité : 40 % au moins un quart, 50 % au moins une demie, 60 % au moins trois-quart, 70 % un moins un rente entière (art. 28 al. 1 LAI).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d’une autre domaine d’activité (art. 6 LPGA). Est réputée incapacité de gain toute diminution de l’ensemble ou d’une partie des possibilités de gain de l’assuré sur un marché du travail équilibré dans son domaine d’activité, si cette diminution résulte</w:t>
      </w:r>
    </w:p>
    <w:p>
      <w:r>
        <w:t>A/1976/2008 - 11/17 - d’une atteinte à sa santé physique, mentale ou psychique et qu’elle persiste après les traitements et les mesures de réadaptation exigibles (art. 7 LPGA). Est réputée invalidité l’incapacité de gain totale ou partielle qui est présumée permanent ou de longue durée (art. 8 al. 1 LPGA). b) Selon l’art. 29 al. 1 LAI, le droit à la rente au sens de l’art. 28 LAI prend naissance au plus tôt à la date à partir de laquelle l’assuré présente une incapacité de gain durable de 40 % au moins (let. a) ou à partir de laquelle il a présenté, en moyenne, une incapacité de travail de 40 % au moins pendant une année sans interruption notable (let. b). c) Chez les assurés actifs, le degré d’invalidité doit être évalué sur la base d’une comparaison des revenus. Pour cela, le revenu que l’assuré aurait pu obtenir s’il n’était pas invalide est comparé avec celui qu’il pourrait obtenir en exerçant l’activité qui peut raisonnablement être exigée de lui après les traitements et les mesures de réadaptation, sur un marché du travail équilibré. La comparaison des revenus s’effectue, en règle ordinaire, en chiffrant aussi exactement que possible les montants de ces deux revenus et en les confrontant l’un avec l’autre, la différence permettant de calculer le taux d’invalidité )méthode générale de comparaison des revenus ; ATF 130 V 348 consid. 3.4, 128 V 30 consid. 1, 104 V 136 consid. 2a et 2b). Pour procéder à la comparaison des revenus, il convient de se placer au moment de la naissance du droit à la rente ; les revenus avec et sans invalidité doivent être déterminés par rapport à un même moment et les modifications de ces revenus susceptibles d’influencer le droit à la rente, survenues jusqu’au moment où la décision est rendue, doivent être prises en compte (ATF 129 V 223 consid. 4.1, 128 V 174).</w:t>
      </w:r>
    </w:p>
    <w:p>
      <w:r>
        <w:t>Le revenu d’invalide doit être évalué avant tout en fonction de la situation professionnelle concrète de l’intéressé. En l’absence d’un revenu effectivement réalisé, il y a lieu de se référer aux données statistiques, telles qu’elles résultent des enquêtes sur la structure des salaires (ESS) de l’Office fédéral de la statistique (ATF 126 V 76 consid. 3b/aa et bb).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 sur le salaire statistique permet de tenir compte des différents éléments qui peuvent influencer le revenu d’une activité lucrative (cf. ATF 126 V 78 consid. 5).</w:t>
      </w:r>
    </w:p>
    <w:p>
      <w:r>
        <w:t>Le revenu de la personne valide se détermine en établissant au degré de la vraisemblance prépondérante ce qu’elle aurait effectivement pu réaliser au moment déterminant si elle était en bonne santé (ATF 129 V 224 consid. 4.3.2 et la référence). Il doit être évalué de manière aussi concrète que possible, si bien qu’il</w:t>
      </w:r>
    </w:p>
    <w:p>
      <w:r>
        <w:t>A/1976/2008 - 12/17 - convient, en règle générale, de se référer au dernier salaire que l’assuré a obtenu avant l’atteinte à la santé, en tenant compte de l’évolution des salaires intervenue jusqu’au moment déterminant du prononcé de la décision. On ne saurait s’écarter d’un tel revenu pour le seul motif que l’assuré disposait, avant la survenance de son invalidité, de meilleures possibilités de gain que celles qu’il mettait en valeur et qui lui permettaient d’obtenir un revenu modeste (ATF 125 V 157 consid. 5c/bb et les arrêts cités) ; il convient toutefois de renoncer à s’y référer lorsqu’il ressort de l’ensemble des circonstances du cas que l’assuré, sans invalidité, ne se serait pas contenté d’une telle rémunération de manière durable (cf. AJP 2002 1487 ; RCC 1992 p. 96 consid. 4a).</w:t>
      </w:r>
    </w:p>
    <w:p>
      <w:r>
        <w:rPr>
          <w:b/>
        </w:rPr>
        <w:t>E. 6</w:t>
      </w:r>
    </w:p>
    <w:p>
      <w:r>
        <w:t>a) Pour pouvoir calculer le degré d’invalidité, l'administration (ou le juge, s'il y a eu recours)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consid. 4 et les références).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est que les points litigieux importants aient fait l’objet d’une étude fouillée, que le rapport se fonde sur des examens complets, qu’il prenne également en considération les plaintes exprimées, qu’il ait été établi en pleine connaissance du dossier (anamnèse), que la description du contexte médical soit claire et enfin que les conclusions de l’expert soient bien motivées (ATF 122 V 160 consid. 1c et les références). L’élément déterminant pour la valeur probante n’est en principe ni l’origine du moyen de preuve, ni sa désignation, sous la forme d’un rapport ou d’une expertise, mais bel et bien son contenu (ATF 122 V 160 consid. 1c ; OMLIN, Die Invaliditätsbemessung in der obligatorischen Unfallversicherung p. 297ss.; MORGER, Unfallmedizinische Begutachtung in der SUVA, in RSAS 32/1988 p. 332ss.). c) Au sujet des rapports établis par les médecins traitants, le juge peut et doit tenir compte du fait que, selon l’expérience, le médecin traitant est généralement enclin, en cas de doute, à prendre parti pour son patient en raison de la relation de confiance qui l’unit à ce dernier (arrêt du Tribunal fédéral du 14 avril 2003, en la cause I 39/03, consid. 3.2 ; ATF 124 I 175 consid. 4 et les références citées ;</w:t>
      </w:r>
    </w:p>
    <w:p>
      <w:r>
        <w:t>A/1976/2008 - 13/17 - Plaidoyer 6/94 p. 67). Il n’a pas, d’emblée, de raison de mettre en doute la capacité alléguée par son patient, surtout dans une situation d’évaluation difficile. En principe, il fait donc confiance à son patient, ce qui est souhaitable, et ne fait donc pas toujours preuve de l’objectivité nécessaire, guidé qu’il est par le souci, louable en soi, d’être le plus utile possible à son patient. Les constatations du médecin de famille quant à l’appréciation de l’incapacité de travail de l’assuré ont ainsi une valeur probante inférieure à celles des spécialistes (RCC 1988 p. 504). La règle est d’ailleurs qu’il se récuse pour l’expertise de ses propres patients (VSI 2001, 109 consid. 3b/cc ; RCC 1988 p. 504 consid. 2). L’expert est dans une position différente puisqu’il n’a pas un mandat de soins, mais un mandat d’expertise en réponse à des questions posées par des tiers. Il tient compte des affirmations du patient. Il doit parfois s’écarter de l’appréciation plus subjective du médecin traitant. d) Quant aux rapports et expertises établis par les médecins des assureurs, le juge peut leur accorder pleine valeur probante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353 consid. 3b/ee, ATFA non publié du 13 mars 2000, I 592/99, consid. b/ee).</w:t>
      </w:r>
    </w:p>
    <w:p>
      <w:r>
        <w:rPr>
          <w:b/>
        </w:rPr>
        <w:t>E. 7</w:t>
      </w:r>
    </w:p>
    <w:p>
      <w:r>
        <w:t>Dans le cas d’espèce, la recourante a été soumise à une expertise bidisciplinaire par l’intimé, dont le volet psychiatrique a été suffisamment mis en doute par les propos de son psychiatre traitant pour que le Tribunal ordonne la mise en œuvre d’une nouvelle expertise (judiciaire) psychiatrique. Cette dernière, réalisée par le docteur R________, remplit en tous points les réquisits jurisprudentiels pour que lui soit accordée une pleine valeur probante. En effet, elle repose sur de longs entretiens avec la recourante dont les plaintes ont été prises en considération, ainsi que sur le dossier complet qui lui a été fourni par la Juridiction de céans. Les développements sont clairs et les diagnostics posés également. Il n’y a pas de contradiction entre les conclusions, les constatations cliniques et l’argumentation médicale, qui est au demeurant fouillée. Dans ces circonstances, on ne voit pas de raison de s’en écarter, contrairement à ce que proposent les médecins du SMR dont l’avis est repris tel quel par l’intimé. En particulier, les remarques formulées par les docteurs Q________ et U________ en relation avec le trouble panique doivent être écartées, dans la mesure où le médecin</w:t>
      </w:r>
    </w:p>
    <w:p>
      <w:r>
        <w:t>A/1976/2008 - 14/17 - expert a exposé de façon circonstanciée pour quels motifs il retenait un tel trouble et que ce dernier ne relevait justement pas d’un trouble agoraphobique. Quant à l’intensité de la dépression, elle est documentée à souhait, de même que les interférences entre les différentes pathologies psychiatriques présentées par l’intéressée, qui ont valeur de maladie et qui, quand bien même elles s’influencent mutuellement, sont indépendantes les unes des autres (on pense en particulier au trouble dépressif qui n’est pas considéré, par l’expert, comme une manifestation d’accompagnement du trouble somatoforme douloureux, ce qui ressortait au demeurant déjà des propos du docteur O________). Quant au volet somatique de la problématique médicale de la recourante, la Juridiction de céans ne voit pas de motif de s’écarter des conclusions et remarques formulées par les médecins (en particulier le rhumatologue) du Centre d’expertise médicale, dans la mesure où elles ne sont d’une part pas contestées et, d’autre part, où rien ne permet de les remettre en question.</w:t>
      </w:r>
    </w:p>
    <w:p>
      <w:r>
        <w:rPr>
          <w:b/>
        </w:rPr>
        <w:t>E. 8</w:t>
      </w:r>
    </w:p>
    <w:p>
      <w:r>
        <w:t>Les atteintes à la santé psychique peuvent, comme les atteintes physiques, entraîner une invalidité au sens de l’art. 4 al. 1er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 la mesure de ce qui est exigible doit être déterminée aussi objectivement que possible (ATF 102 V 165 ; VSI 2001 p. 224 consid. 2b et les références ; cf. aussi ATF 127 V 294 consid. 4c in fine). La reconnaissance de l’existence de troubles somatoformes douloureux persistants suppose d’abord la présence d’un diagnostic émanant d’un expert (psychiatre) et s’appuyant lege artis sur les critères d’un système de classification reconnu (ATF 130 V 396 consid. 5.3 et consid. 6). Comme pour toutes les autres atteintes à la santé psychique, le diagnostic de troubles somatoformes douloureux persistants ne constitue pas encore une base suffisante pour conclure à une invalidité. Au contraire, il existe une présomption que les troubles somatoformes douloureux ou leurs effets peuvent être surmontés par un effort de volonté raisonnablement exigible. Le caractère non exigible de la réintégration dans le processus de travail peut résulter de facteurs déterminés qui, par leur intensité et leur constance, rendent la personne incapable de fournir cet effort de volonté. Dans un tel cas, en effet, l’assuré ne dispose pas des ressources nécessaires pour vaincre ses douleurs. La question de savoir si ces circonstances exceptionnelles sont réunies doit être tranchée de cas en cas à la lumière de différents critères. Au premier plan figure la présence d’une comorbidité psychiatrique importante par sa gravité, son acuité et sa durée. D’autres critères peuvent être déterminants. Ce sera le cas des affections corporelles chroniques, d’un processus maladif s’étendant sur plusieurs années sans rémission durable (symptomatologie inchangée ou progressive), d’une perte d’intégration sociale dans toutes les manifestations de la vie, d’un état psychique</w:t>
      </w:r>
    </w:p>
    <w:p>
      <w:r>
        <w:t>A/1976/2008 - 15/17 - cristallisé, sans évolution possible au plan thérapeutique, résultant d’un processus défectueux de résolution du conflit, mais apportant un soulagement du point de vue psychique (profit primaire tiré de la maladie, fuite dans la maladie), de l’échec de traitements ambulatoires ou stationnaires conformes aux règles de l’art (même avec différents types de traitement), cela en dépit de l’attitude coopérative de la personne assurée (ATF 130 V 352). Plus ces critères se manifestent et imprègnent les constatations médicales, moins on admettra l’exigibilité d’un effort de volonté (MEYER-BLASER, Der Rechtsbegriff der Arbeitsunfähigkeit und seine Bedeutung in der Sozialversicherung, in : Schmerz und Arbeitsunfähigkeit, St. Gall 2003, p. 77). Si les limitations liées à l’exercice d’une activité résultent d’une exagération des symptômes ou d’une constellation semblable, on conclura, en règle ordinaire, à l’absence d’une atteinte à la santé ouvrant le droit à des prestations d’assurance. Au nombre des situations envisagées figurent la discordance entre les douleurs décrites et le comportement observé, l’allégation d’intenses douleurs dont les caractéristiques demeurent vagues, l’absence de demande de soins, les grandes divergences entre les informations fournies par le patient et celles ressortant de l’anamnèse, le fait que des plaintes très démonstratives laissent insensible l’expert, ainsi que l’allégation de lourds handicaps malgré un environnement psychosocial intact (voir KOPP/WILLI/KLIPSTEIN, Im Graubereich zwischen Körper, Psyche und sozialen Schwierigkeiten, in : Schweizerische Medizinische Wochenschrift 1997, p. 1434, avec référence à une étude approfondie de WINCKLER et FOERSTER ; voir sur l’ensemble du sujet ATF 131 V 49). Par ailleurs, s’agissant des troubles dépressifs, il y a lieu d’observer que selon la doctrine médicale (cf. notamment DILLING/MOMBOUR/SCHMIDT [Hrsg.], Internationale Klassifikation psychischer Störungen, ICD-10 Kapitel V [F], 4e édition, p. 191) sur laquelle s’appuie le Tribunal fédéral, les états dépressifs ne constituent en principe pas une comorbidité psychiatrique grave et durable à un trouble somatoforme douloureux, dans la mesure où ils ne sont en règle générale qu’une manifestation réactive ne devant pas faire l’objet d’un diagnostic séparé (ATF 130 V 352 consid. 3.3.1 in fine ; MEYER-BLASER, op. cit. p. 81, note 135).</w:t>
      </w:r>
    </w:p>
    <w:p>
      <w:r>
        <w:rPr>
          <w:b/>
        </w:rPr>
        <w:t>E. 9</w:t>
      </w:r>
    </w:p>
    <w:p>
      <w:r>
        <w:t>En l’espèce, la recourante présente un trouble somatoforme douloureux. Or, il résulte clairement de l’expertise du docteur R________ que les autres diagnostics psychiatriques qu’ils a retenus, et en particulier l’épisode dépressif de gravité moyenne à sévère, ne sont pas des manifestations d’accompagnement de ce trouble, mais des comorbidités à part entière, ayant valeur de maladie et se révélant d’une gravité certaine, ce d’autant plus qu’elles persistent dans le temps. En pareilles circonstances, point n’est besoin d’examiner les autres critères posés par la jurisprudence pour se prononcer sur le caractère invalidant du trouble somatoforme, puisqu’il existe des comorbidités psychiatriques graves. Le trouble somatoforme douloureux doit dès lors être considéré comme invalidant, au même titre que les autres pathologies dont souffre la recourante. Il s’ensuit que les conclusions de</w:t>
      </w:r>
    </w:p>
    <w:p>
      <w:r>
        <w:t>A/1976/2008 - 16/17 - l’expert judiciaire relatives à la capacité de travail doivent être suivies et qu’il ne peut dès lors être exigé de l’intéressée qu’une capacité de travail résiduelle maximale de 30 % dans une activité adaptée aux limitations physiques, c’est-à-dire n’impliquant pas de marche sur terrain inégal ou de maintien de l’équilibre en l’absence de compensation visuelle, ni d’exposition à un risque de fractures (sollicitations physiques peu importantes), de port de charges mi-lourdes à lourdes ou de sollicitations subites ou encore de position accroupie répétée. Dans les travaux ménagers, il convient de prendre, cas échéant, en considération une capacité à accomplir les travaux habituels de 50 %.</w:t>
      </w:r>
    </w:p>
    <w:p>
      <w:r>
        <w:rPr>
          <w:b/>
        </w:rPr>
        <w:t>E. 10</w:t>
      </w:r>
    </w:p>
    <w:p>
      <w:r>
        <w:t>Reste à déterminer le taux d’invalidité présenté par le recourante. Le dossier de l’OCAI ne contient cependant aucun document à ce propos, singulièrement aucune pièce permettant de déterminer les revenus de l’intéressée avant la survenance de l’atteinte à la santé. Il n’est dès lors pas possible de procéder à une comparaison des gains, ni, par voie de conséquence, de déterminer le taux d’invalidité de la recourante. La cause sera donc retournée à l’office intimé pour qu’il comble cette lacune et fixe le taux d’invalidité.</w:t>
      </w:r>
    </w:p>
    <w:p>
      <w:r>
        <w:rPr>
          <w:b/>
        </w:rPr>
        <w:t>E. 11</w:t>
      </w:r>
    </w:p>
    <w:p>
      <w:r>
        <w:t>La procédure n’est pas gratuite. L’intimé, qui succombe, en supportera les frais, présentement fixés à 1'000 fr. Il versera en outre une indemnité de dépens à la recourante de 1'500 fr.</w:t>
      </w:r>
    </w:p>
    <w:p>
      <w:r>
        <w:t>A/1976/2008 - 17/17 -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