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ATAS/714/2023 vom 21. September 2023</w:t>
      </w:r>
    </w:p>
    <w:p>
      <w:r>
        <w:t>GE Cour de justice, 2023-09-21, FR</w:t>
      </w:r>
    </w:p>
    <w:p>
      <w:r>
        <w:rPr>
          <w:b/>
        </w:rPr>
        <w:t xml:space="preserve">Quelle: </w:t>
      </w:r>
      <w:r>
        <w:t>https://mcp.opencaselaw.ch/entscheid/ge_gerichte_ATAS_714_2023</w:t>
      </w:r>
    </w:p>
    <w:p>
      <w:r>
        <w:t>FR: GE_GERICHTE ATAS/714/2023 du 21 septembre 2023</w:t>
      </w:r>
    </w:p>
    <w:p>
      <w:r>
        <w:t>IT: GE_GERICHTE ATAS/714/2023 del 21 settembre 2023</w:t>
      </w:r>
    </w:p>
    <w:p>
      <w:pPr>
        <w:pStyle w:val="Heading2"/>
      </w:pPr>
      <w:r>
        <w:t>Erwägungen</w:t>
      </w:r>
    </w:p>
    <w:p>
      <w:r>
        <w:rPr>
          <w:b/>
        </w:rPr>
        <w:t>E. 24</w:t>
      </w:r>
    </w:p>
    <w:p>
      <w:r>
        <w:t>janvier 2019. Elle relève que l'intimé confond les notions d'incapacité de travail et d'empêchements à accomplir les actes ordinaires de la vie quotidienne et/ou à faire face aux nécessités de la vie, ajoutant qu'un assuré au bénéfice d'une allocation pour impotent n'est pas nécessairement incapable de travailler et que son activité d'aide-lingère auprès de la Fondation B______ était exercée dans un cadre particulier, puisque cet établissement emploie des personnes en situation de handicap connaissant des difficultés d'apprentissage et les accompagne vers les plus grandes autonomie et autodétermination possibles. La pratique de cette</w:t>
      </w:r>
    </w:p>
    <w:p>
      <w:r>
        <w:t>A/3295/2020 - 5/17 - activité dans ce milieu bienveillant n'est donc pas incompatible avec le besoin d'un accompagnement pour faire face aux nécessités de la vie. j. Les autres faits seront repris - en tant que de besoin - dans la partie « en droit » du présent arrêt.</w:t>
      </w:r>
    </w:p>
    <w:p>
      <w:r>
        <w:t>EN DROIT</w:t>
      </w:r>
    </w:p>
    <w:p>
      <w:r>
        <w:t>1. La compétence de la Cour de céans et la recevabilité du recours ont été examinées dans l’ordonnance d’expertise du 23 décembre 2021 ; il suffit d'y renvoyer. 2. À teneur de l'art. 1 al. 1 de la loi fédérale sur l’assurance-invalidité du 19 juin 1959 (LAI - RS 831.20), les dispositions de la loi fédérale sur la partie générale du droit des assurances sociales du 6 octobre 2000 (LPGA - RS 830.1) s'appliquent à l'assurance-invalidité, à moins que la loi n'y déroge expressément. 3. Le 1er janvier 2021, est entrée en vigueur la modification du 21 juin 2019 de la LPGA. Toutefois, dans la mesure où le recours (du 19 octobre 2020) était, au 1er janvier 2021, pendant devant la Cour de céans, il reste soumis à l'ancien droit (cf. art. 82a LPGA). 4. Le 1er janvier 2022, sont entrées en vigueur les modifications de la LAI du 19 juin 2020 (développement continu de l’AI ; RO 2021 705). 4.1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4.2 En l’occurrence, la décision querellée (du 30 septembre 2020) a été rendue antérieurement au 1er janvier 2022, de sorte que les dispositions légales applicables seront citées dans leur ancienne teneur. 5. Le litige porte sur le droit de la recourante à une allocation pour impotent de degré faible, singulièrement sur le point de savoir si les troubles dont elle est atteinte rendent nécessaire un accompagnement pour faire face aux nécessités de la vie. 6. 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w:t>
      </w:r>
    </w:p>
    <w:p>
      <w:r>
        <w:t>A/3295/2020 - 6/17 -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H.66/04 du 9 août 2004 consid. 2.1 et 2.2 et la référence). Est aussi considérée comme impotente la personne vivant chez elle qui, en raison d’une atteinte à sa santé, a durablement besoin d’un accompagnement lui permettant de faire face aux nécessités de la vie (art. 42 al. 3 1ère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1ère phrase LAI, avoir droit au moins à un quart de rente (art. 42 al. 3 2ème phrase LAI). 7. La loi distingue trois degrés d’impotence : grave, moyen ou faible (art. 42 al. 2 LAI). 7.1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7.2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7.3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w:t>
      </w:r>
    </w:p>
    <w:p>
      <w:r>
        <w:t>A/3295/2020 - 7/17 - 7.4 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8.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Par contacts sociaux, on entend les relations humaines telles qu’elles se pratiquent quotidiennement (par ex. lire, écrire, fréquenter des concerts, des manifestations politiques ou religieuses, etc. ; RCC 1982 p. 119 consid. 1c et p. 126 consid. 1b ; Circulaire sur l’invalidité et l’impotence dans l’assurance-invalidité établie par l’Office fédéral des assurances sociales, valable à partir du 1er janvier 2015, dans son état au 1er janvier 2018 ici déterminant [OFAS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9.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9.1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w:t>
      </w:r>
    </w:p>
    <w:p>
      <w:r>
        <w:t>A/3295/2020 - 8/17 - 9C_131/2019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I.1013/06 du 9 novembre 2007 consid. 5.4).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9.2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9.3 Dans la troisième éventualité, l’accompagnement en cause doit prévenir le risque d’isolement durable ainsi que de la perte de contacts sociaux et, par-là, la péjoration subséquente de l’état de santé de la personne assurée (arrêt du Tribunal fédéral 9C_131/2019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I.46/07 du 29 octobre 2007 consid. 3.5 et la référence).</w:t>
      </w:r>
    </w:p>
    <w:p>
      <w:r>
        <w:t>A/3295/2020 - 9/17 - 9.4 L’art. 38 al. 3 1ère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9.5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Il n’est pas nécessaire que l’accompagnement pour faire face aux nécessités de la vie soit assuré par un personnel d’encadrement qualifié ou spécialement formé (arrêt du Tribunal fédéral I.652/06 du 25 juillet 2007 consid. 5.2).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10.1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A/3295/2020 - 10/17 - médicales soit claire et enfin que les conclusions de l'expert soient bien motivées (ATF 134 V 231 consid. 5.1 ; ATF 133 V 450 consid. 11.1.3 ; ATF 125 V 351 consid. 3). 10.2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10.3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w:t>
      </w:r>
    </w:p>
    <w:p>
      <w:r>
        <w:t>A/3295/2020 - 11/17 -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13.</w:t>
      </w:r>
    </w:p>
    <w:p>
      <w:r>
        <w:t>13.1 En l'espèce, le rapport d'expertise judiciaire du 24 janvier 2023 se fonde sur les pièces médicales au dossier, l'anamnèse, les données subjectives de la recourante, ‒ assistée d'une interprète en langue des signes ‒ et l'examen clinique complété par deux tests (l'échelle d'efficience cognitive globale, et la batterie d'efficience cognitive pour les fonctions exécutives et de planifications). Le premier test a mis en évidence des valeurs très déficitaires dans plusieurs domaines, notamment au niveau de l'orientation visuospatiale (0/5 points), du jugement (0/4 points), de la fluence verbale dans une tâche de dénomination d'animaux réalisée sur une minute (0/8 points) et, dans une moindre mesure, sur une tâche de mémoire verbale lors de la restitution de quatre éléments donnés en précédence (6/8 points). Le second test a également révélé des valeurs très déficitaires dans la vaste majorité des tâches, notamment dans les similitudes, la fluence verbale, la programmation motrice, la sensibilité à l'interférence, ainsi que dans la contrôle inhibitoire (0/3 dans chaque tâche). Les valeurs obtenues se situaient largement en dessous des normes corrigées pour le niveau d'éducation et l'âge de la recourante, faisant suspecter une atteinte cérébrale, dépassant le cadre du défaut d'apprentissage et du déficit sensoriel (rapport d'expertise p. 12). Sur cette base, les experts ont retenu le diagnostic de trouble neurocognitif majeur multidomaine à prédominance dysexécutive, attentionnelle, langagière et</w:t>
      </w:r>
    </w:p>
    <w:p>
      <w:r>
        <w:t>A/3295/2020 - 12/17 - mnésique ayant un impact sur l'autonomie de la recourante dans plusieurs activités instrumentales, d'allure évolutive (défaut dans la prise d'initiative, troubles exécutifs comportant une difficulté dans la gestion administrative en particulier pour le paiement des factures, la gestion du courrier, et difficultés liées à la prise en charge du diabète). Ils ont constaté une anosognosie de la recourante face à ses difficultés, associée à des troubles de langage et de compréhension dépassant le cadre du défaut d'apprentissage et des déficits sensoriels (rapport d'expertise p. 11- 14). Dans son avis du 3 mars 2023, le SMR admet que cette expertise est convaincante et retient que la recourante présente des limitations fonctionnelles cognitives évolutives, qui ne sont pas à mettre sur le compte de l'absence de scolarisation, ni sur la surdité uniquement. Il admet aussi une aggravation récente, avec une perte d'autonomie, nécessitant une aide des proches. Le déficit cognitif, récent, selon lui, n'entrait pas en ligne de compte lors de l'enquête ménagère en 2017, dont les conclusions demeureraient en conséquence valables. Contrairement à ce que prétend l'intimé, qui s'est rallié à l'avis précité, le manque d'autonomie de la recourante pour les activités instrumentales - dont notamment les difficultés dans la gestion administrative et la prise en charge du diabète - ne remontent pas seulement à une période postérieure à la décision litigieuse du 30 septembre 2020. Elles existaient bien avant, ainsi que l'avait relevé l'enquêtrice à l'époque, si ce n'est qu'elle n'attribuait ces difficultés non à l'atteinte à la santé, mais au manque de connaissances scolaires. Or, on ne saurait suivre les conclusions de l'enquêtrice, dès lors qu'il ressort du rapport d'expertise judiciaire que la recourante présente des troubles cognitifs qui ont un impact sur ses activités instrumentales, non motivé par son absence de scolarisation exclusivement. En d'autres termes, l'enquêtrice ignorait l'implication de l'atteinte à la santé neurologique sur les difficultés rencontrées par la recourante, élément objectif médical qui remet en cause le bien-fondé de son appréciation, étant souligné qu'aucune pièce au dossier ne permet de retenir que le trouble cognitif n'existerait que depuis quelques mois avant l'expertise judiciaire ; la Dre C______, médecin interne traitant, avait déjà fait état des difficultés de sa patiente à comprendre et à appliquer les consignes (questionnaire rempli le 16 décembre 2019) et soupçonné un déficit cognitif ‒ cependant non investigué ‒ (rapport du 18 novembre 2021). Les proches de l’assurée ont évoqué une aggravation de la situation, dans la mesure où la recourante, par exemple, ne répondait pas au téléphone (WhatsApp), ne réagissait pas aux mots écrits laissés derrière sa porte (alors qu'auparavant, elle aurait immédiatement appelé son interprète en langue des signes), était devenue furieuse à l'idée d'envisager son placement dans un appartement protégé au point qu'elle n'avait pas rendu visite à sa belle-sœur pendant trois semaines, et ne fréquentait plus les manifestations pour personnes malentendantes, affirmant que les personnes de son âge étaient vieilles (cf. courriels des 15 et 16 mai 2022 ;</w:t>
      </w:r>
    </w:p>
    <w:p>
      <w:r>
        <w:t>A/3295/2020 - 13/17 - rapport d'expertise judiciaire p. 9-10). Or, le comportement de la recourante ici décrit n'infirme en aucun cas son besoin d'aide pour les affaires administratives et la prise de rendez-vous prodiguée par son entourage (belle-famille, amie) depuis son arrivée en Suisse (rapport de la rhumatologue traitante du 4 avril 2017 [dossier intimé p. 72], ainsi que pour le bilan d'évolution de l'état de santé et la préparation des traitements par l'IMAD depuis le 16 février 2017 (courrier de l'IMAD du 13 juin 2017, dossier intimé p. 75 et 78). Le fait qu’en parallèle, la recourante travaillait en tant qu'aide-lingère auprès de la Fondation B______, laquelle offre des emplois adaptés à des personnes en situation de handicap (cf. https://B______.ch/), ne dément pas son besoin d'aide pour la gestion de ses affaires administratives et la prise en charge de son diabète (lesquelles sont étrangères à l'activité lucrative qu'elle exerçait). C'est le lieu de rappeler que l'allocation pour impotent vise le besoin concret de l'aide d'autrui pour réaliser certains actes (arrêt du Tribunal fédéral 9C_703/2018 du 30 janvier 2019 consid. 5.1) ou, comme en l'occurrence, pour faire face aux nécessités de la vie (notamment pour les questions de santé, les activités administratives, les contacts avec les services officiels ou le personnel médical) afin de maintenir la personne concernée à son domicile (ici la recourante, cf. rapport d'expertise p. 13) et d'éviter son placement dans un home. Le fait que la recourante soit autonome pour structurer sa journée, faire son ménage, préparer ses repas (dossier intimé p. 110), accéder aux lieux publics et utiliser les transports publics seule (p. 111) ne contredit pas non plus son besoin d'aide pour la gestion de ses affaires administratives et la prise en charge de son diabète, dès lors qu'elle souffre de troubles exécutifs (rapport d'expertise p. 12) ; la recourante gère les situations qui lui sont connues, routinières, à l'inverse de celles qui sont nouvelles, qui sortent de l'ordinaire et qui requièrent plus d'attention (rapport d'expertise p. 11-12), étant de surcroît relevé qu'elle est anosognosique de ses difficultés (p. 11). Comme déjà relevé dans l'ordonnance d'expertise du 23 décembre 2021, la recourante a besoin de l'aide d'une tierce personne pour les tâches administratives et la prise de rendez-vous médicaux, ainsi que pour le bilan d'évolution de l'état de santé et la préparation des traitements, évaluée à 122 minutes au moins par semaine (30 heures sur 17 semaines [rapport d'enquête, dossier intimé p. 111], soit environ 105 minutes par semaine, auxquelles s'ajoute l'aide de l'IMAD tous les quinze jours, d'une durée de 35 minutes, équivalant à 17,5 minutes par semaine, p. 112), correspondant à un accompagnement de deux heures par semaine au minimum. L'aide du beau-frère de la recourante, qui intervient en cas de problèmes techniques (télévision, cuisinière, machine à laver, réparations ; procès-verbal d'enquêtes du 24 janvier 2019), ne peut entrer en ligne de compte, car elle est sporadique.</w:t>
      </w:r>
    </w:p>
    <w:p>
      <w:r>
        <w:t>A/3295/2020 - 14/17 - Au vu des conclusions des experts, il n'y a pas lieu de déduire, comme le voudrait l'intimé, la durée de l'aide apportée à la recourante qui découlerait de son défaut de scolarisation, puisque c'est sa déficience cognitive qui explique davantage son besoin d'accompagnement. 13.2 En conséquence, la recourante a droit à une allocation pour impotent de degré faible (art. 37 al. 3 let. e RAI). 14. Reste à déterminer le point de départ du versement de cette prestation. 14.1 Selon l’art. 42 al. 4 LAI,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l’allocation pour impotent est régie, à partir de l’âge d'un an, par l’art. 29 al. 1 LAI (actuellement : art. 28 al. 1 let. b LAI ; ATF 137 V 351 consid. 4 et 5). Dès lors que les conditions posées par l’art. 28 al. 1 let. b LAI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 part, selon l’étendue de l’impotence persistant une fois le délai d’attente écoulé (ATF 111 V 226 consid. 3). À teneur de l’art. 35 al. 1 RAI, le droit à l’allocation pour impotent prend naissance le premier jour du mois au cours duquel toutes les conditions de ce droit sont réalisées. 14.2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Selon la jurisprudence, les faits ouvrant droit à des prestations que l'assuré - ou son représentant légal - ne pouvait pas connaître, au sens de l'art. 48 al. 2 let. a LAI, sont ceux qui n'étaient objectivement pas reconnaissables, mais non ceux dont l'assuré - ou son représentant légal - ne pouvait subjectivement pas saisir la</w:t>
      </w:r>
    </w:p>
    <w:p>
      <w:r>
        <w:t>A/3295/2020 - 15/17 - portée (ATF 139 V 289 consid. 4.2 et 6 et les références citées ; arrêt du Tribunal fédéral 9C_265/2016 du 16 août 2016 consid. 5). Une restitution de délai doit également être accordée si l'assuré a été incapable d'agir pour cause de force majeure (par exemple en raison d'une maladie psychique entraînant une incapacité de discernement)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112 consid. 2a ; arrêt du Tribunal fédéral 9C_583/2010 du 22 septembre 2011 consid. 4.1). La jurisprudence relative à l’art. 48 al. 2 LAI n’admet que de manière très restrictive qu’un état de fait objectivement donné ouvrant droit à des prestations n’ait pas été reconnaissable ou que la personne assurée ait été empêchée pour cause de maladie, malgré une connaissance adéquate, de déposer une demande ou de charger quelqu’un de le faire (ATF 139 V 289 consid. 4.2, avec une casuistique comprenant notamment des cas de schizophrénie ; arrêt de la Cour des assurances sociales du Tribunal cantonal vaudois AI 367/17 - 147/2018 du 16 mai 2018 consid. 3). 14.3 L’exercice du droit aux prestations appartient à l’assuré ou à son représentant légal, ainsi qu’aux autorités ou tiers qui l’assistent régulièrement ou prennent soin de lui de manière permanente (art. 66 al. 1 RAI). 14.4 En l'espèce, la belle-famille de la recourante assistait régulièrement cette dernière depuis son arrivée en Suisse en 1987 et s'occupait tant de ses affaires administratives que de la gestion des rendez-vous et des médicaments, ce qui prenait au minimum deux heures par semaine (cf. rapport de la rhumatologue traitante du 4 avril 2017, dossier intimé p. 71-72), étant rappelé que l'IMAD est chargée du contrôle de la santé de la recourante et de la préparation des traitements depuis le 16 février 2017 seulement. Force est de constater que la demande d'allocation pour impotent déposée le 13 mars 2017 est tardive, puisque la nécessité d’au moins deux heures en moyenne par semaine de l'accompagnement pour faire face aux nécessités de la vie existait depuis 1987. Ainsi, en application de l'art. 48 al. 1 LAI, le droit à l'allocation pour impotent de degré faible n'est ouvert qu'à compter du 1er mars 2016 (cf. art. 35 al. 1 RAI), étant souligné qu'à ce moment, la recourante âgée de 59 ans et demi, n'avait pas encore atteint l'âge de la retraite (64 ans pour les femmes ; art. 21 al. 1 let. b LAVS ; art. 42 al. 4 LAI). Il n'existe aucun indice donnant à penser que la belle-famille aurait été empêchée pour cause de force majeure de déposer une demande d'allocation pour impotent avant le 13 mars 2017. Partant, la recourante ne peut prétendre à aucune allocation</w:t>
      </w:r>
    </w:p>
    <w:p>
      <w:r>
        <w:t>A/3295/2020 - 16/17 - pour impotent pour la période antérieure au 1er mars 2016. Au demeurant, elle ne le fait pas valoir. 15. Au vu de ce qui précède, le recours est admis et la décision du 30 septembre 2020 annulée. La recourante, représentée par un avocat et obtenant gain de cause, une indemnité lui est accordée à titre de participation à ses frais et dépens (art. 61 let. g LPGA; art. 6 du règlement sur les frais, émoluments et indemnités en matière administrative du 30 juillet 1986 [RFPA - E 5 10.03]), fixée en l'espèce à CHF 2'500.-. Au vu du sort du recours, il y a lieu de condamner l’intimé au paiement d’un émolument, arrêté en l'espèce à CHF 500.- (art. 69 al. 1bis LAI). Les frais de l’expertise judiciaire seront laissés à la charge de l'État.</w:t>
      </w:r>
    </w:p>
    <w:p>
      <w:r>
        <w:t>A/3295/2020 - 17/17 -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