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ATAS/714/2021 vom 30. Juni 2021</w:t>
      </w:r>
    </w:p>
    <w:p>
      <w:r>
        <w:t>GE Cour de justice, 2021-06-30, FR</w:t>
      </w:r>
    </w:p>
    <w:p>
      <w:r>
        <w:rPr>
          <w:b/>
        </w:rPr>
        <w:t xml:space="preserve">Quelle: </w:t>
      </w:r>
      <w:r>
        <w:t>https://mcp.opencaselaw.ch/entscheid/ge_gerichte_ATAS_714_2021</w:t>
      </w:r>
    </w:p>
    <w:p>
      <w:r>
        <w:t>FR: GE_GERICHTE ATAS/714/2021 du 30 juin 2021</w:t>
      </w:r>
    </w:p>
    <w:p>
      <w:r>
        <w:t>IT: GE_GERICHTE ATAS/714/2021 del 30 giugno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au 1er janvier 2021, pendant devant la Cour de céans, il reste soumis à l'ancien droit (cf. art. 82a LPGA ; RO 2020 5137 ; FF 2018 1597 ; erratum de la CdR de l’Ass. féd. du 19 mai 2021, publié le 18 juin 2021 in RO 2021 358).</w:t>
      </w:r>
    </w:p>
    <w:p>
      <w:r>
        <w:rPr>
          <w:b/>
        </w:rPr>
        <w:t>E. 4</w:t>
      </w:r>
    </w:p>
    <w:p>
      <w:r>
        <w:t>Les modifications du 18 mars 2011 de la loi fédérale sur l'assurance-invalidité (révision 6a), entrées en vigueur le 1er janvier 2012, entraînent la modification de certaines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w:t>
      </w:r>
    </w:p>
    <w:p>
      <w:r>
        <w:rPr>
          <w:b/>
        </w:rPr>
        <w:t>E. 4.3</w:t>
      </w:r>
    </w:p>
    <w:p>
      <w:r>
        <w:t>; arrêt du Tribunal fédéral 9C_618/2019 du 16 mars 2020 consid. 8.2).</w:t>
      </w:r>
    </w:p>
    <w:p>
      <w:r>
        <w:t>A/515/2020 - 15/21 -</w:t>
      </w:r>
    </w:p>
    <w:p>
      <w:r>
        <w:rPr>
          <w:b/>
        </w:rPr>
        <w:t>E. 5</w:t>
      </w:r>
    </w:p>
    <w:p>
      <w:r>
        <w:t>Le délai de recours est de trente jours (art. 56 LPGA; art. 62 al. 1 de la de loi sur la procédure administrative du 12 septembre 1985 [LPA - E 5 10]). Interjeté dans la forme et le délai prévus par la loi, le recours est recevable.</w:t>
      </w:r>
    </w:p>
    <w:p>
      <w:r>
        <w:rPr>
          <w:b/>
        </w:rPr>
        <w:t>E. 6</w:t>
      </w:r>
    </w:p>
    <w:p>
      <w:r>
        <w:t>Le litige porte sur le bien-fondé de la suppression, dès le 31 janvier 2016, de la rente entière d’invalidité octroyée jusqu’alors au recourant.</w:t>
      </w:r>
    </w:p>
    <w:p>
      <w:r>
        <w:t>A/515/2020 - 12/21 -</w:t>
      </w:r>
    </w:p>
    <w:p>
      <w:r>
        <w:rPr>
          <w:b/>
        </w:rPr>
        <w:t>E. 7</w:t>
      </w:r>
    </w:p>
    <w:p>
      <w:r>
        <w:t>L’assuré a droit à une rente lorsqu’il a présenté une incapacité de travail (art. 6 LPGA) d’au moins 40 % en moyenne durant une année sans interruption notable et qu’au terme de cette année, il est invalide (art.8 LPGA) à 40 % au moins (cf. art. 28 al. 1 let. b et c LAI, en sa teneur en vigueur dès le 1er janvier 2008 – 5ème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9</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w:t>
      </w:r>
    </w:p>
    <w:p>
      <w:r>
        <w:t>A/515/2020 - 13/21 - le DSM-IV (ATF 143 V 409 consid. 4.5.2 ; ATF 141 V 281 consid. 2.1 et 2.1.1; ATF 130 V 396 consid. 5.3 et 6). b.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Pour des motifs de proportionnalité, on peut renoncer à une appréciation selon la grille d’évaluation normative et structurée si elle n’est pas nécessaire ou si elle est</w:t>
      </w:r>
    </w:p>
    <w:p>
      <w:r>
        <w:t>A/515/2020 - 14/21 -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w:t>
      </w:r>
    </w:p>
    <w:p>
      <w:r>
        <w:rPr>
          <w:b/>
        </w:rPr>
        <w:t>E. 10</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w:t>
      </w:r>
    </w:p>
    <w:p>
      <w:r>
        <w:rPr>
          <w:b/>
        </w:rPr>
        <w:t>E. 11</w:t>
      </w:r>
    </w:p>
    <w:p>
      <w:r>
        <w:t>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w:t>
      </w:r>
    </w:p>
    <w:p>
      <w:r>
        <w:rPr>
          <w:b/>
        </w:rPr>
        <w:t>E. 12</w:t>
      </w:r>
    </w:p>
    <w:p>
      <w:r>
        <w:t>L’art. 17 al. 1er LPGA dispose que si le taux d’invalidité du bénéficiaire de la rente subit une modification notable, la rente est, d’office ou sur demande, révisée pour l’avenir, à savoir augmentée ou réduite en conséquence, ou encore supprimée.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 Aux termes de l’art. 88a al. 1 du règlement sur l’assurance-invalidité du</w:t>
      </w:r>
    </w:p>
    <w:p>
      <w:r>
        <w:rPr>
          <w:b/>
        </w:rPr>
        <w:t>E. 17</w:t>
      </w:r>
    </w:p>
    <w:p>
      <w:r>
        <w:t>Le recourant se prévaut en premier lieu d’une partialité des experts. Il fait valoir que le BEM réalise des expertises médicales pour les offices AI et les assurances perte de gain, qu’il est donc régulièrement mandaté par les assurances sociales, que son activité économique se trouve concentrée sur les services aux assureurs obligatoires et qu’il y aurait donc un « problème de dépendance structurelle et économique » compromettant l’indépendance de l’organisme ayant procédé à l’expertise. C’est méconnaître la jurisprudence constante du Tribunal fédéral qui a déjà statué à plusieurs reprises sur des griefs comparables et qui estime que la consultation régulière d'un expert, le nombre d'expertises et de rapports demandés au même médecin et le volume d'honoraires qui en résulte ne créent pas en soi une dépendance vis-à-vis des offices AI qui pourrait être un motif de récusation (ATF 137 V 210 consid. 1.3.3.3 p. 226 s. avec références). Quant aux éléments qui, selon l’assuré, fonderaient des doutes quant à l’impartialité des experts (le fait que l’expert ait relevé des discordances dans ses propos ou relaté la manière dont il s’était assis et comporté durant l’examen, que l’experte se soit trompée sur des dates et lieux), ils apparaissent dénués de pertinence. En effet, il appartient précisément à l’expert de relever d’éventuelles discordances et de relater les observations qui ont été les siennes lors de l’examen clinique. Quant aux erreurs</w:t>
      </w:r>
    </w:p>
    <w:p>
      <w:r>
        <w:t>A/515/2020 - 18/21 - de dates commises s’agissant de la guerre au Kosovo, on voit mal en quoi elles auraient des conséquences sur le résultat de l’expertise et sur l’évaluation de la capacité de travail de l’intéressé. C’est le lieu de rappeler que la partialité d’un expert ne peut pas reposer sur les seules impressions de l'expertisé, la méfiance à l'égard de l'expert devant au contraire apparaître comme fondée sur des éléments objectifs (ATF 132 V 93 consid. 7.1 p. 109 et l'arrêt cité; arrêt 9C_519/2011 du 5 avril 2012 consid. 3.1). Relever la présence d'une forme d'amplification des symptômes, la recherche de bénéfices secondaires ou un caractère revendicateur ne constituent pas des éléments objectifs démontrant la partialité de l'expert dès lors qu’il s'agit d'éléments diagnostiques ou d'indicateurs pertinents devant permettre de se prononcer sur le caractère invalidant d'un trouble psychique : les ressources personnelles jouent un rôle important dans le sens où leur existence peut compenser le poids de la douleur et favoriser ainsi la capacité d'exécuter une tâche ou une action (cf. ATF 141 V 281 consid. 4.1.1 p. 296 s.); des circonstances indiquant une exagération (telles qu'une amplification des symptômes ou un caractère revendicateur) constituent des éléments décisifs pour évaluer la pertinence du diagnostic (cf. ATF 141 V 281 consid. 4.3.1.1 p. 298 s.); des ressources personnelles mobilisables sont déductibles du contexte social (cf. ATF 141 V 281 consid. 4.3.3 p. 303). Il est donc justifié que des experts examinent ces éléments afin de permettre d'en tirer des conclusions quant au caractère invalidant du trouble analysé (cf. ATF 145 V 361 consid 4.3). Eu égard à ce qui précède, le grief de partialité est écarté.</w:t>
      </w:r>
    </w:p>
    <w:p>
      <w:r>
        <w:rPr>
          <w:b/>
        </w:rPr>
        <w:t>E. 18</w:t>
      </w:r>
    </w:p>
    <w:p>
      <w:r>
        <w:t>Reste à examiner la valeur probante de l’expertise, contestée par le recourant. L’expertise est fondée sur une documentation complète – il est vrai que les dernières imageries remontent à 2015, il y sera revenu plus loin –, elle est fondée sur une documentation complète et des diagnostics précis et se montre convaincante quant aux diagnostics retenus. A priori, elle peut donc se voir reconnaître une pleine valeur probante. Il convient de vérifier si des éléments médicaux objectifs permettraient malgré tout de s’écarter de ses conclusions. Le recourant reproche au Dr P______ de n’avoir pas investigué les effets douloureux des multiples séquelles à sa colonne vertébrale, d’avoir évoqué « un important parasitage » sans expliquer ce qu’il entendait par là et de n’avoir demandé aucun examen radiologique complémentaire, pour vérifier l’hypothèse d’une possible aggravation de son état depuis 2016. Selon lui, il n’était pas admissible que le Dr P______ se contente des radiographies effectuées entre 2006 et 2016, soit avant octobre 2016, date de l’éventuelle aggravation. L’expert rhumatologue a bel et bien investigué les douleurs consécutives aux multiples atteintes à la colonne vertébrale du recourant. Les diagnostics retenus correspondent d’ailleurs avec ceux retenus par les autres médecins s’étant exprimés dans le dossier (syndrome pan-vertébral sur un status après maladie de</w:t>
      </w:r>
    </w:p>
    <w:p>
      <w:r>
        <w:t>A/515/2020 - 19/21 - Scheuermann, discopathie C4-C5, discopathie marquée C5-C6 avec rétrécissement foraminal bilatéral, discret rétrécissement foraminal à gauche en C6-C7, discopathies, hernie discale protrusive droite, status après décompression en L4-L5 et libération de la racine L5 le 12 juin 2015, discopathie protrusive L4-L5, discrète arthrose inter-facettaire bilatérale étagée avec de discrets signes de surcharge articulaire postérieure en L4-L5 gauche et syndrome radiculaire irritatif L5 gauche). Les points de fibromyalgie ont également été investigués et évalués à 4 sur 18, ce qui a permis d’écarter ce diagnostic. Il est vrai qu’aucun examen radiologique n’a été demandé en complément de l’expertise et que le dernier versé au dossier consistait en une échographie abdominale, le 1er septembre 2016. Toutes les atteintes vertébrales ont cependant été clairement identifiées et ont été documentées par les nombreux examens préalables. Dans la mesure où l’aggravation alléguée consistait principalement en une péjoration des douleurs et où il n’y a pas forcément de corrélation entre douleurs ressenties et imagerie, le fait que l’expert ait renoncé à des examens supplémentaires n’apparaît pas choquant en l’espèce. Comme déjà dit, les atteintes vertébrales sont établies, documentées et non contestées. Les experts en ont tiré les conséquences en retenant un certain nombre de limitations fonctionnelles, correspondant à celles retenues par les médecins traitants, à savoir : le fait d’éviter le port fréquent de charges supérieures à 5 kg, la surcharge des ceintures scapulaires, les stations debout ou assise prolongées. Seule l’évaluation de la capacité de travail dans une activité correspondant à cette description diverge entre experts et médecins traitants, mais ces derniers ne motivent pas les raisons de leur évaluation autrement que par les douleurs subjectives dont il a été admis qu’elles s’expliquaient partiellement par les atteintes rhumatologiques constatées radiologiquement et cliniquement et qui ont été prises en compte dans la définition des limitations fonctionnelles. Pour le surplus, des éléments de discordance ont été relevés (notamment le fait que la musculature de l’assuré soit très bonne au niveau des ceintures scapulaires ou encore un important parasitage – ce qui revient à dire que l’expert a constaté des auto-limitations déjà relevées précédemment par le Dr J______). L’experte psychiatre a constaté les mêmes discordances, raison pour laquelle elle a retenu le diagnostic de majoration des symptômes. Celui de trouble somatoforme douloureux n’a en revanche pas été discuté et on peut le regretter. Cela n’est cependant pas rédhibitoire dans la mesure où, quoi qu’il en soit, l’experte psychiatre a malgré tout examiné les différents indicateurs énumérés par la jurisprudence en un tel cas (qui se rapproche d’ailleurs de celui de l’algoneurodystrophie évoquée par la Dresse Q______). En effet, au plan psychique, les symptômes et pertes de fonctionnalité dont se plaignait l’assuré n’étaient ni cohérents, ni plausibles et montraient une majoration. On ne relevait pas de limitations uniformes dans tous les domaines comparables de la vie puisque les loisirs et les relations sociales étaient bien maintenus et investies.</w:t>
      </w:r>
    </w:p>
    <w:p>
      <w:r>
        <w:t>A/515/2020 - 20/21 - Là encore, le recourant n’amène aucun élément médical objectif susceptible de s’écarter des constatations de l’experte, puisque, de l’aveu même de son psychiatre traitant, il n’y a aucune incapacité de travail d’un point de vue strictement psychique. Eu égard aux considérations qui précèdent, une pleine force probante doit être reconnue à l’expertise.</w:t>
      </w:r>
    </w:p>
    <w:p>
      <w:r>
        <w:rPr>
          <w:b/>
        </w:rPr>
        <w:t>E. 19</w:t>
      </w:r>
    </w:p>
    <w:p>
      <w:r>
        <w:t>Le recourant fait également valoir que les problèmes concernant sa main gauche occupent une place importante dans l’analyse de la Dresse Q______. Certes, celle-ci a noté une faiblesse de la main gauche, ainsi qu’une difficulté de fermeture et un tremblement irrégulier. Cependant, l’ENMG n’a mis en évidence aucune anomalie au membre supérieur, en particulier aucune diminution de force, aucune diminution de la sensibilité et aucune asymétrie des réflexes. L’ENMG n’a relevé que de discrets signes en faveur d’une atteinte canalaire du nerf médian gauche, sans indication de chirurgie et n’expliquant pas les symptômes. Comme brièvement relevé plus haut, la Dresse Q______ a évoqué un possible syndrome douloureux dont il a déjà été dit que les conditions permettant de lui reconnaître un caractère invalidant n’étaient pas remplies. Quant au rapport d’IRM cérébrale du 19 mars 2020, il met en évidence une sinusite chronique et un kyste au niveau de la partie postérieure de la glande hypophyse, sans incidence aucune sur la capacité de travail et aucune atteinte somatique pouvant expliquer les plaintes de l’assuré au niveau du membre supérieur gauche.</w:t>
      </w:r>
    </w:p>
    <w:p>
      <w:r>
        <w:rPr>
          <w:b/>
        </w:rPr>
        <w:t>E. 20</w:t>
      </w:r>
    </w:p>
    <w:p>
      <w:r>
        <w:t>En d’autres termes, comme le fait remarquer l’intimé, la motivation du recourant consiste essentiellement à souligner la divergence d’opinions entre les experts et ses médecins traitants quant à sa capacité de travail, mais cela ne saurait suffire à remettre en cause l’expertise. En effet, pour cela il eut fallu que des éléments objectifs vérifiables soient avancés, ce qui n’est pas le cas. Dans ces conditions, c’est à juste titre que l’intimé s’est rangé aux conclusions de l’expertise et a reconnu à l’assuré une pleine capacité de travail dans une activité strictement adaptée à compter de novembre 2015. En conséquence, le recours est rejeté.</w:t>
      </w:r>
    </w:p>
    <w:p>
      <w:r>
        <w:t>A/515/2020 - 21/21 -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