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ATAS/714/2020 vom 1. September 2020</w:t>
      </w:r>
    </w:p>
    <w:p>
      <w:r>
        <w:t>GE Cour de justice, 2020-09-01, FR</w:t>
      </w:r>
    </w:p>
    <w:p>
      <w:r>
        <w:rPr>
          <w:b/>
        </w:rPr>
        <w:t xml:space="preserve">Quelle: </w:t>
      </w:r>
      <w:r>
        <w:t>https://mcp.opencaselaw.ch/entscheid/ge_gerichte_ATAS_714_2020</w:t>
      </w:r>
    </w:p>
    <w:p>
      <w:r>
        <w:t>FR: GE_GERICHTE ATAS/714/2020 du 1 septembre 2020</w:t>
      </w:r>
    </w:p>
    <w:p>
      <w:r>
        <w:t>IT: GE_GERICHTE ATAS/714/2020 del 1 settembre 2020</w:t>
      </w:r>
    </w:p>
    <w:p>
      <w:pPr>
        <w:pStyle w:val="Heading2"/>
      </w:pPr>
      <w:r>
        <w:t>Erwägungen</w:t>
      </w:r>
    </w:p>
    <w:p>
      <w:r>
        <w:rPr>
          <w:b/>
        </w:rPr>
        <w:t>E. 12</w:t>
      </w:r>
    </w:p>
    <w:p>
      <w:r>
        <w:t>Dans sa duplique du 8 juin 2020, la SUVA a également confirmé ses conclusions.</w:t>
      </w:r>
    </w:p>
    <w:p>
      <w:r>
        <w:rPr>
          <w:b/>
        </w:rPr>
        <w:t>E. 13</w:t>
      </w:r>
    </w:p>
    <w:p>
      <w:r>
        <w:t>Ces écritures ont été transmises à l’intéressé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se limite au droit de l’intéressé à la remise de l’obligation de restituer la somme de CHF 39'353.75, représentant les prestations qui lui ont été versées à tort, la question du principe et du montant ayant quant à elle été définitivement tranchée par la chambre de céans dans son arrêt du 14 mai 2019, entré en force. 4. a.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2ème phrase LPGA). La remise de l'obligation de restituer est donc soumise à deux conditions cumulatives : la bonne foi de l'assuré et sa situation financière difficile. b. En ce qui concerne l'obligation de restituer comme telle, l'art. 25 al. 1 LPGA ne fait que reprendre la réglementation de l'art. 47 al. 1 loi fédérale sur l’assurance- vieillesse et survivants du 20 décembre 1946 (LAVS ; RS 831.10) qui était applicable avant l'entrée en vigueur de la LPGA, soit directement, soit par renvoi ou encore par analogie dans d'autres domaines du droit des assurances sociales (ATF ATF non publié 8C_130/2008 et les références). À cet égard, il sied de préciser que les conditions et la procédure de restitution selon la LAA avant l'entrée en vigueur de la LPGA étaient les mêmes que celles prévalant dans l'ancienne LAVS (KELLER, La restitution des prestations indûment touchées dans la LPGA, Lausanne, 2003, ch. 4.5 p.164). Partant, la jurisprudence développée à propos de l'art. 47 al. 1 aLAVS (applicable jusqu'au 31 décembre 2002) vaut par analogie.</w:t>
      </w:r>
    </w:p>
    <w:p>
      <w:r>
        <w:t>A/418/2020 - 5/9 - c. La bonne foi doit faire l’objet d’un examen minutieux dans chaque cas particulier. S'il existe des cas où l'ignorance de la loi n'est pas incompatible avec les exigences de la bonne foi, par exemple, lorsque l'assuré touchait une rente entachée d'une erreur de calcul, le principe de la bonne foi doit s'effacer devant les règles spéciales qui découlent directement et incontestablement de la loi (VALTERIO, Droit et pratique de l'assurance-invalidité, Les prestations, 1985, p. 312 et les références). La jurisprudence a ainsi tendance à admettre de façon très restrictive la bonne foi lorsqu'il existe une disposition légale réglant précisément la condition du droit, sa naissance ou son extinction. Par exemple, l'assuré qui continue à toucher une rente pour couple après son divorce, doit restituer en vertu de l'art. 22 al. 3 aLAVS (qui prévoyait que le droit à la rente s'éteignait lorsque le divorce était prononcé). Il ne saurait y avoir dans un tel cas invocation de la bonne foi pour contrer une disposition claire de la loi. L'adage "nul n'est censé ignorer la loi" prend ici toute son importance (KELLER, La restitution des prestations indûment touchées dans la LPGA, Lausanne, 2003, 4.1.6.2 p. 161). De ce fait,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En revanche, l’intéressé peut invoquer sa bonne foi lorsque l’acte ou l’omission fautifs ne constituent qu’une violation légère de l’obligation d’annoncer ou de renseigner (ATF 112 V 97 consid. 2c; ATF 110 V 176 consid. 3c; ATF non publié 8C_403/2008 du 23 janvier 2009, consid. 2.2). Selon la jurisprudence, il y a négligence grave lorsque l’intéressé ne se conforme pas à ce qui peut être raisonnablement exigé de personnes capables de discernement, se trouvant dans une situation identique et dans les mêmes circonstances (ATF 112 V 103 consid. 2c; ATF 110 V 180 consid. 3c ; ATFA non publié C 93/05 du 20 janvier 2007). C'est notamment le cas chaque fois que la nécessité d'annoncer un changement survenu est évidente. Le TFA a ainsi admis qu'il y avait négligence grave dans des cas où le bénéficiaire d'une rente AI n'avait pas annoncé qu'il entreprenait ou qu'il reprenait une activité lucrative importante et durable (RCC 1976 p. 569; RCC 1968 p. 444; RCC 1963 p. 514), où le bénéficiaire d'une rente de vieillesse, divorcé depuis longtemps, touchait une rente complémentaire pour son épouse, où un assuré avait donné des réponses inexactes aux questions concrètes d'une formule à remplir (ATF 110 V 181 consid. 3d; RCC 1985, p. 63), ou encore, dans le cas où une rente</w:t>
      </w:r>
    </w:p>
    <w:p>
      <w:r>
        <w:t>A/418/2020 - 6/9 - de vieillesse était encaissée par les proches après le décès du bénéficiaire de ladite rente (RCC 1986, p. 667-668). d. S'agissant de la situation financière difficile, est déterminant, pour apprécier cette question, le moment où la décision de restitution est exécutoire (art. 4 al. 2 OPGA) Il y a situation difficile lorsque les conditions de l’art. 5 OPGA à savoir lorsque les dépenses reconnues par la loi fédérale sur les prestations complémentaires à l’AVS et à l’AI du 6 octobre 2006 (LPC ; RS 831.30) et les dépenses supplémentaires au sens de l'alinéa 4 sont supérieures au revenu déterminant selon la LPC.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125 V 195 consid. 2). Aussi n’existe-t-il pas, en droit des assurances sociales, un principe selon lequel l’administration ou le juge devrait statuer, dans le doute, en faveur de l’assuré (ATF 126 V 322 consid. 5a). 6. 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7. En l’espèce, la SUVA a considéré que l’intéressé n’avait pas été de bonne foi lorsqu’il avait perçu les indemnités journalières de l’assurance-accidents fixées à</w:t>
      </w:r>
    </w:p>
    <w:p>
      <w:r>
        <w:t>A/418/2020 - 7/9 - CHF 168.35 sur la base du salaire indiqué dans la déclaration de sinistre du</w:t>
      </w:r>
    </w:p>
    <w:p>
      <w:r>
        <w:rPr>
          <w:b/>
        </w:rPr>
        <w:t>E. 17</w:t>
      </w:r>
    </w:p>
    <w:p>
      <w:r>
        <w:t>septembre 2015, soit de CHF 76’800.- (CHF 72’000 + CHF 4'800.-). 8. a. L’intéressé allègue avoir demandé des renseignements à un collaborateur de la SUVA par téléphone. Des renseignements obtenus, il dit avoir compris qu’il devait être considéré comme un chef d’entreprise, et que son salaire assuré était, partant, de CHF 6'000.- par mois. b. Le droit à la protection de la bonne foi, déduit de l'art. 4 aCst., est expressément consacré à l'art. 9 Cst. Selon la jurisprudence rendue sous l'ancien droit, qui est toujours valable (ATF 127 I 36 consid. 3a ; 126 II 387 consid. 3a ; RAMA 2000 n° KV 126 p. 223 ; n° KV 133 p. 291 consid. 2a ; n° KV 171 p. 281 consid. 3b),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l'autorité est intervenue dans une situation concrète à l'égard de personnes déterminées ; 2. l'autorité a agi ou est censée avoir agi dans les limites de sa compétence ; 3. l'administré n'a pas pu se rendre compte immédiatement de l'inexactitude du renseignement obtenu ; 4. il s'est fondé sur ce renseignement pour prendre des dispositions qu'il ne saurait modifier sans subir un préjudice ; 5. la loi n'a pas changé depuis le moment où le renseignement a été donné (ATF 121 V 66 consid. 2a et les références). Il sied préalablement de rappeler qu’en cas d’absence de preuve, c’est à la partie qui voulait en déduire un droit d’en supporter les conséquences (ATF 117 V 264 consid. 3), sauf si l’impossibilité de prouver un fait peut être imputée à son adverse partie (ATF 124 V 375 consid. 3). c. On ne sait rien de cet entretien téléphonique, ni même s’il a bien eu lieu. Ce n’est par ailleurs que dans son recours que l’intéressé en fait état pour la première fois. Or, il convient en règle générale, en présence de déclarations contradictoires, de donner la préférence aux premières déclarations faites par l’assuré, alors que celui- ci n’était pas conscient des conséquences juridiques qu’elles auraient, les explications nouvelles pouvant être - consciemment ou non – le fruit de réflexions ultérieures influencées par de telles conséquences juridiques (ATF 121 V 47 consid. 2a ; 115 V 143 consid. 8c ; arrêts du Tribunal fédéral des assurances U 96/05 du 20 mai 2006 consid. 3.1 ; U 267/01 du 4 juin 2001 consid. 2a ; ATAS/942/2017 du 24 octobre 2017 consid. 3c ; Anna-Katharina PANTLI / Ueli KIESER / Volker PRIBNOW, Die “Aussage der ersten Stunde“ im Schadenausgleichsrecht – und die Mangelhaftigkeit ihrer Aufzeichung, in PJA 2000 p. 1195 ss). Des compléments décisifs donnés par l’assuré seulement après avoir reçu une décision de refus</w:t>
      </w:r>
    </w:p>
    <w:p>
      <w:r>
        <w:t>A/418/2020 - 8/9 - motivée n’apparaissent pas convaincants s’il ne s’explique pas qu’ils n’ont pas été mentionnés avant l’opposition à cette dernière (arrêt du Tribunal fédéral 8C_496/2007 du 29 avril 2008 consid. 4 ; arrêt du Tribunal fédéral des assurances U 64/02 du 26 février 2004 consid. 2.2.3). Force est de constater que l’intéressé n’a pas établi, ni même rendu vraisemblable au degré requis par la jurisprudence, qu’il ait passé cet appel téléphonique. L’existence d’un renseignement erroné n’est, partant, pas non plus établie. On ne saurait dès lors admettre qu’un renseignement ait été donné à l’intéressé selon lequel, parce qu’il était associé-gérant d’une Sàrl, il aurait bénéficié d'une couverture d'assurance en tant que chef d'entreprise avec une indemnité mensuelle de CHF 6'000.-. Il ne peut ainsi pas se prévaloir du principe de la bonne foi en raison d’assurances qui auraient été données par l’autorité. 9. L’intéressé fait valoir qu’en sa qualité d’associé-gérant, il devait être considéré comme un chef d’entreprise, de sorte qu’il pensait avoir conclu avec la SUVA un contrat d’assurance en tant que tel. On ne voit cependant pas trace dans le dossier d’un quelconque document qui pourrait être assimilé et/ou avoir été compris par l’intéressé comme étant un contrat d’assurance de chef d’entreprise. 10. Il convient d’admettre qu'une personne capable de discernement, se trouvant dans une situation identique et dans les mêmes circonstances, aurait réagi et se serait pour le moins enquise des raisons pour lesquelles la SUVA lui versait des indemnités journalières dont le montant s’avérait être sensiblement supérieur à celui de son salaire. 11. Il résulte de ce qui précède que l’intéressé a commis à tout le moins une négligence grave au sens de la jurisprudence susmentionnée, excluant toute remise. La condition de la bonne foi n’étant pas réalisée, il est superfétatoire d'examiner celle de la condition financière. Partant, le refus d'accorder la remise à l’intéressé ne peut être que confirmé. Aussi le recours est-il rejeté.</w:t>
      </w:r>
    </w:p>
    <w:p>
      <w:r>
        <w:t>A/418/2020 - 9/9 -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