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ATAS/714/2017 vom 24. August 2017</w:t>
      </w:r>
    </w:p>
    <w:p>
      <w:r>
        <w:t>GE Cour de justice, 2017-08-24, FR</w:t>
      </w:r>
    </w:p>
    <w:p>
      <w:r>
        <w:rPr>
          <w:b/>
        </w:rPr>
        <w:t xml:space="preserve">Quelle: </w:t>
      </w:r>
      <w:r>
        <w:t>https://mcp.opencaselaw.ch/entscheid/ge_gerichte_ATAS_714_2017</w:t>
      </w:r>
    </w:p>
    <w:p>
      <w:r>
        <w:t>FR: GE_GERICHTE ATAS/714/2017 du 24 août 2017</w:t>
      </w:r>
    </w:p>
    <w:p>
      <w:r>
        <w:t>IT: GE_GERICHTE ATAS/714/2017 del 24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compte tenu de la suspension des délais entre le 7ème jours avant et après Pâques (art. 38 al. 4 let. a LPGA), le recours est recevable.</w:t>
      </w:r>
    </w:p>
    <w:p>
      <w:r>
        <w:rPr>
          <w:b/>
        </w:rPr>
        <w:t>E. 3</w:t>
      </w:r>
    </w:p>
    <w:p>
      <w:r>
        <w:t>a. Est litigieuse en l’occurrence la question de savoir si le recourant présente un degré d’invalidité lui ouvrant le droit à une rente. b. Le recourant conclut également à l'octroi de mesures d'ordre professionnel. Toutefois, dans la mesure où la décision n'a trait qu'au droit à la rente, cette question ne fait pas l'objet du litige.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A/2158/2017 - 7/12 -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A/2158/2017 - 8/12 - description des interférences médicales soit claire et enfin que les conclusions de l'expert soient bien motivées (ATF 125 V 351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contrairement à ce que le recourant a compris, l’intimé admet qu’il ne peut plus travailler dans sa profession de parqueteur et carreleur. Toutefois, une capacité de travail à 100 % dans une activité adaptée (sans mouvements avec les bras au-dessus de la tête, soulèvement de lourdes charges, monter sur une échelle ou un échafaudage) est admise par tous les médecins traitants. Cela n’est pas non plus contesté par le recourant, lequel a déclaré à la chambre de céans qu’il pourrait travailler dans une activité légère. Reste ainsi à déterminer la perte de gain.</w:t>
      </w:r>
    </w:p>
    <w:p>
      <w:r>
        <w:rPr>
          <w:b/>
        </w:rPr>
        <w:t>E. 10</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[art. 28 al. 2 aLAI en vigueur du 1er janvier 2004 au 31 décembre 2007]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w:t>
      </w:r>
    </w:p>
    <w:p>
      <w:r>
        <w:t>A/2158/2017 - 9/12 -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op. cit., consid. 3.5 in fine). 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 Le revenu d’invalidité doit en principe être évalué en fonction de la situation professionnelle concrète de l’assuré. Lorsqu’il n’a pas repris d’activité ou une activité lui permettant de mettre pleinement en valeur sa capacité résiduelle de travail, le revenu d’invalide doit être évalué sur la base des données statistiques (ATF 126 V 75 consid. 3b/aa et bb p. 76). e. Lorsque le revenu avec invalidité est établi sur la base des salaires ressortant des statistiques, il y a lieu de les réduire, afin de tenir compte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w:t>
      </w:r>
    </w:p>
    <w:p>
      <w:r>
        <w:t>A/2158/2017 - 10/12 -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w:t>
      </w:r>
    </w:p>
    <w:p>
      <w:r>
        <w:rPr>
          <w:b/>
        </w:rPr>
        <w:t>E. 11</w:t>
      </w:r>
    </w:p>
    <w:p>
      <w:r>
        <w:t>a. En l’occurrence, le revenu sans invalidité du recourant ne peut être déterminé de manière fiable. En effet, selon l’enquête économique du 23 février 2017, l’entreprise du recourant n’avait pas encore atteint son plein rendement et était encore dans une phase de lancement. De surcroît, il est difficile de préjuger du revenu hypothétique sans invalidité que l’assuré aurait pu réaliser et estimer le sort probable de l’entreprise. Partant, c’est à juste titre que l’intimé s’est fondé sur les données salariales de l'ESS pour déterminer le revenu sans invalidité. L’enquêtrice a déterminé le salaire sans invalidité à CHF 66'084.- sur la base des ESS 2014, tableau TA1_skill_level dans le domaine de la construction, en retenant le niveau 1 (tâches physiques ou manuelles simples). Selon ce tableau, le salaire mensuel médian des hommes dans ce secteur est de CHF 5'507.- par mois, soit CHF 66'084.-. Cela n'est pas critiquable. Il y a toutefois lieu de réactualiser ce revenu à l’année déterminante, à savoir 2015, de sorte que ce salaire s’élève à CHF 66'262.60. Comme les salaires bruts standardisés tiennent compte d’un horaire de travail de 40 heures, soit d’une durée hebdomadaire inférieure à la moyenne usuelle dans les entreprises en 2015 (41,7 heures en 2015), ce montant doit être porté à CHF 69'078.70. b. Quant au revenu avec invalidité, le recourant a admis lors de son audition qu’il ne travaillait dans son entreprise qu’à raison de 20 à 30 %. Il ne peut dès lors être considéré qu’il a pleinement mis en valeur sa capacité résiduelle de travail. En effet, dans ces conditions, il est exigible qu’il renonce à son activité indépendante et qu’il travaille à 100 % dans une activité adaptée à ses limitations fonctionnelles. Partant, il y a également lieu de se fonder sur les salaires statistiques pour déterminer le revenu sans invalidité. L’intimé a pris en considération pour le calcul de ce revenu le salaire médian ressortant de l'ESS 2014 pour les hommes, toutes les branches confondues (CHF 5'312.- par mois), niveau 1. Après l’avoir réactualisé et pris en compte la durée usuelle hebdomadaire de travail, l'intimé l'a déterminé à CHF 66'633.-. Cela est conforme à la jurisprudence en la matière. En effet, au regard du large éventail d’activités simples et répétitives que recouvrent les secteurs de la production et des services, on doit convenir qu’un certain nombre d’entre elles sont légères et</w:t>
      </w:r>
    </w:p>
    <w:p>
      <w:r>
        <w:t>A/2158/2017 - 11/12 - adaptées au handicap du recourant. Puis, l’intimé a effectué un abattement de 10 % de ce salaire statistique pour tenir compte des limitations fonctionnelles, établissant ainsi le salaire brut avec invalidité à CHF 59'969.-. S’agissant de l’abattement, la chambre de céans constate toutefois que l’intimé n’a pas tenu compte de la nationalité étrangère et du permis B du recourant. Cela étant, elle estime qu’il y a lieu de procéder à une réduction de 15 % des salaires statistiques. Ainsi, le salaire avec invalidité doit être déterminé à CHF 56'638.-. c. Il résulte par conséquent de la comparaison des salaires que la perte de gain est de 18 %. Un tel taux d’invalidité n’ouvre pas le droit à une rente.</w:t>
      </w:r>
    </w:p>
    <w:p>
      <w:r>
        <w:rPr>
          <w:b/>
        </w:rPr>
        <w:t>E. 12</w:t>
      </w:r>
    </w:p>
    <w:p>
      <w:r>
        <w:t>Cela étant, le recours sera rejeté. Toutefois, dans la mesure où le recourant conclut également à l’octroi de mesures d’ordre professionnel, la cause sera renvoyée à l’intimé pour examen de cette question.</w:t>
      </w:r>
    </w:p>
    <w:p>
      <w:r>
        <w:rPr>
          <w:b/>
        </w:rPr>
        <w:t>E. 13</w:t>
      </w:r>
    </w:p>
    <w:p>
      <w:r>
        <w:t>Dès lors que le recourant succombe, un émolument de CHF 200.- est mis à sa charge, la procédure n'étant pas gratuite (art. 69 al. 1bis LAI).</w:t>
      </w:r>
    </w:p>
    <w:p>
      <w:r>
        <w:t>***</w:t>
      </w:r>
    </w:p>
    <w:p>
      <w:r>
        <w:t>A/2158/2017 - 12/12 -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