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ATAS/714/2014 vom 12. Juni 2014</w:t>
      </w:r>
    </w:p>
    <w:p>
      <w:r>
        <w:t>GE Cour de justice, 2014-06-12, FR</w:t>
      </w:r>
    </w:p>
    <w:p>
      <w:r>
        <w:rPr>
          <w:b/>
        </w:rPr>
        <w:t xml:space="preserve">Quelle: </w:t>
      </w:r>
      <w:r>
        <w:t>https://mcp.opencaselaw.ch/entscheid/ge_gerichte_ATAS_714_2014</w:t>
      </w:r>
    </w:p>
    <w:p>
      <w:r>
        <w:t>FR: GE_GERICHTE ATAS/714/2014 du 12 juin 2014</w:t>
      </w:r>
    </w:p>
    <w:p>
      <w:r>
        <w:t>IT: GE_GERICHTE ATAS/714/2014 del 12 giugno 2014</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w:t>
      </w:r>
    </w:p>
    <w:p>
      <w:r>
        <w:rPr>
          <w:b/>
        </w:rPr>
        <w:t>E. 3</w:t>
      </w:r>
    </w:p>
    <w:p>
      <w:r>
        <w:t>Interjeté dans les forme et délai légaux (art. 56 à 60 LPGA), le recours est recevable.</w:t>
      </w:r>
    </w:p>
    <w:p>
      <w:r>
        <w:rPr>
          <w:b/>
        </w:rPr>
        <w:t>E. 4</w:t>
      </w:r>
    </w:p>
    <w:p>
      <w:r>
        <w:t>Le litige porte sur le point de savoir si l’intimé était fondé à refuser l’octroi de prestations à la recourante, au motif qu’elle ne présente pas de maladie invalidante.</w:t>
      </w:r>
    </w:p>
    <w:p>
      <w:r>
        <w:t>A/3484/2013 - 4/9 -</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w:t>
      </w:r>
    </w:p>
    <w:p>
      <w:r>
        <w:t>A/3484/2013 - 5/9 -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w:t>
      </w:r>
    </w:p>
    <w:p>
      <w:r>
        <w:rPr>
          <w:b/>
        </w:rPr>
        <w:t>E. 9</w:t>
      </w:r>
    </w:p>
    <w:p>
      <w:r>
        <w:t>Les atteintes à la santé psychique peuvent, comme les atteintes physiques, entraîner une invalidité au sens de l'art. 4 al. 1 LAI en liaison avec l'art. 8 LPGA.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pas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w:t>
      </w:r>
    </w:p>
    <w:p>
      <w:r>
        <w:t>A/3484/2013 - 6/9 - S'agissant plus particulièrement des troubles somatoformes douloureux, la jurisprudence admet qu'ils peuvent, dans certaines circonstances, conduire à une incapacité de travail (ATF 120 V 119 consid. 2c/cc; RAMA 1996 no U 256 p. 217 ss consid. 5 et 6). La fibromyalgie peut être assimilée à un trouble somatoforme, plus particulièrement au syndrome douloureux somatoforme persistant (ATFA I 123/04 du 6 juillet 2004 consid. 4.2.1 et I 721/02 du 10 mars 2003; cf. P. A. BUCHARD, «Peut-on encore poser le diagnostic de fibromyalgie?», in: Revue médicale de la Suisse romande 2001, p. 443ss, spéc. p. 446; cf. aussi MEYER-BLASER, Der Rechtsbegriff der Arbeitsunfähigkeit und seine Bedeutung in der Sozialversicherung, namentlich für den Einkommensvergleich in der Invaliditätsbemessung, in : Schaffhauser/Schlauri [éd.], Schmerz und Arbeitsunfähigkeit, St-Gall 2003, p. 64 n. 93).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Une expertise psychiatrique est en principe nécessaire quand il s'agit de se prononcer sur l'incapacité de travail que de tels troubles sont susceptibles d'entraîner (VSI 2000 p. 160 consid. 4b; arrêt I 683/03, du 12 mars 2004,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(ATFA I 683/03 précité, consid. 2.2.2) et être reportée à un diagnostic posé dans le cadre d'une classification reconnue (ATFA I 457/02 du 18 mai 2004, consid. 6.3). Un rapport d'expertise attestant la présence d'une atteinte psychique ayant valeur de maladie - tels des troubles somatoformes douloureux - est donc une condition juridique nécessaire, mais ne constitue pas encore une base suffisante pour que l'on puisse admettre une limitation de la capacité de travail susceptible d'entraîner une invalidité (ATFA I 683/03 précité, consid. 2.2.3; Ulrich MEYER-BLASER, Der Rechtsbegriff der Arbeitsunfähigkeit und seine Bedeutung in der Sozialversicherung, namentlich für den Einkommensvergleich in der Invaliditätsbemessung, in : René SCHAUFFHAUSER/Franz SCHLAURI (éd.), Schmerz und Arbeitsunfähigkeit, St-Gall 2003, p. 64 s., et note 93). En effet, ainsi que cela a été dit plus haut, la jurisprudence considère qu’en règle générale, les troubles somatoformes douloureux persistants n'entraînent pas une</w:t>
      </w:r>
    </w:p>
    <w:p>
      <w:r>
        <w:t>A/3484/2013 - 7/9 - limitation de longue durée de la capacité de travail pouvant conduire à une invalidité au sens de l'art. 4 al. 1 LAI (voir sur ce point MEYER-BLASER, op. cit., p. 76 ss, spéc. p. 81 s.). Une exception à ce principe n’est admise que lorsque, selon l'estimation du médecin, les troubles somatoformes douloureux se manifestent avec une telle sévérité que, d'un point de vue objectif, la mise en valeur de sa capacité de travail ne peut, pratiquement plus, - sous réserve des cas de simulation ou d'exagération (SVR 2003 IV no 1 p. 2 consid. 3b/bb; voir aussi MEYER-BLASER, op. cit. p. 83, spéc. 87 s.) - raisonnablement être exigée de l'assuré, ou qu'elle serait même insupportable pour la société (ATF 102 V 165; VSI 2001 p. 224 s. consid. 2b et les références; ATFA I 683/03 précité, consid. 2.2.3 et les arrêts cités; voir également ATF 127 V 298 consid. 4c in fine). Admissible seulement à titre exceptionnel, le caractère non exigible de la réintégration dans le processus de travail suppose soit la présence manifeste d'une comorbidité psychiatrique d'une acuité et d'une durée importantes, soit le cumul d'autres facteurs déterminés qui, par leur intensité et leur constance, rendent la personne incapable de fournir cet effort de volonté. Constituent de tels facteurs : (1) les affections corporelles chroniques distinctes ou d'un autre processus maladif s'étendant sur plusieurs années sans rémission durable, (2) une perte d'intégration sociale dans toutes les manifestations de la vie, (3) un état psychique cristallisé, sans évolution possible au plan thérapeutique, marquant simultanément l'échec et la libération du processus de résolution du conflit psychique (profit primaire tiré de la maladie), ou enfin (4) l'échec de traitements ambulatoires ou stationnaires conformes aux règles de l'art et de mesures de réhabilitation, cela en dépit de la motivation et des efforts de la personne assurée pour surmonter les effets des troubles somatoformes douloureux (VSI 2000 p. 155 consid. 2c; ATFA I 683/03 précité, consid. 2.2.3 in fine; MEYER-BLASER, op. cit. p. 76 ss, spéc. 80 ss).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w:t>
      </w:r>
    </w:p>
    <w:p>
      <w:r>
        <w:t>A/3484/2013 - 8/9 - soin nécessaire si l'estimation médicale de l'incapacité de travail prend en considération également des éléments étrangers à l'invalidité (en particulier des facteurs psychosociaux et socio-culturels), non pertinents du point de vue des assurances sociales (ATF 127 V 299 consid. 5a; VSI 2000 p. 149 consid. 3), ou si la limitation (partielle ou totale) de la capacité de travail est justifiée par les critères juridiques déterminants, énumérés ci-dessus (cf. ATFA I 683/03 précité consid. 2.2.5).</w:t>
      </w:r>
    </w:p>
    <w:p>
      <w:r>
        <w:rPr>
          <w:b/>
        </w:rPr>
        <w:t>E. 10</w:t>
      </w:r>
    </w:p>
    <w:p>
      <w:r>
        <w:t>En l’espèce, force est de constater que les experts dont les rapports ont été versés au dossier sont unanimes à conclure à une pleine capacité de travail et ce, dans toute activité. Leurs rapports, dûment étayés, argumentés et documentés, peuvent se voir reconnaître pleine valeur probante. En effet, ces rapports se fondent sur des examens complets, ils prennent en considération les plaintes exprimées par la recourante, ils ont été établis en pleine connaissance du dossier, ils décrivent clairement les interférences médicales clairement. Enfin, leurs conclusions apparaissent bien motivées. Seul le médecin traitant conclut à une incapacité de travail, qu’il motive par la fibromyalgie, dont l’expert psychiatre a pourtant considéré qu’elle ne remplissait pas les critères pour se voir reconnaître un caractère invalidant. Quant aux troubles dégénératifs évoqués par le médecin traitant, l’expert rhumatologue a précisé qu’ils étaient fort modestes, tout à fait compatibles avec l’âge de la recourante et sans conséquence en termes de capacité de travail. C’est donc à juste titre que l’intimé a conclu à l’absence de maladie invalidante. Partant, il n’y a pas lieu d’octroyer des prestations de l’assurance-invalidité, fût-ce sous forme de mesures professionnelles.</w:t>
      </w:r>
    </w:p>
    <w:p>
      <w:r>
        <w:rPr>
          <w:b/>
        </w:rPr>
        <w:t>E. 11</w:t>
      </w:r>
    </w:p>
    <w:p>
      <w:r>
        <w:t>Eu égard aux considérations qui précèdent, le recours ne peut être que rejeté.</w:t>
      </w:r>
    </w:p>
    <w:p>
      <w:r>
        <w:t>A/3484/2013 - 9/9 -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