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ATAS/714/2011 vom 14. Juli 2011</w:t>
      </w:r>
    </w:p>
    <w:p>
      <w:r>
        <w:t>GE Cour de justice, 2011-07-14, FR</w:t>
      </w:r>
    </w:p>
    <w:p>
      <w:r>
        <w:rPr>
          <w:b/>
        </w:rPr>
        <w:t xml:space="preserve">Quelle: </w:t>
      </w:r>
      <w:r>
        <w:t>https://mcp.opencaselaw.ch/entscheid/ge_gerichte_ATAS_714_2011</w:t>
      </w:r>
    </w:p>
    <w:p>
      <w:r>
        <w:t>FR: GE_GERICHTE ATAS/714/2011 du 14 juillet 2011</w:t>
      </w:r>
    </w:p>
    <w:p>
      <w:r>
        <w:t>IT: GE_GERICHTE ATAS/714/2011 del 14 luglio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 Quant à l’accord entre la Confédération suisse, d’une part, et la Communauté européenne et ses Etats membres, d’autre part, sur la libre circulation des personnes (ALCP ; RS 0.142.112.681), conclu le 21 juin 1999 et entré en vigueur le 1er juin 2002, il a été conclu en faveur des ressortissants des Etat membres de la Communauté européenne et de la Suisse. Or, bien que provenant de France, la recourante n’est pas ressortissante de cet Etat, ni d’aucun autre de la Communauté européenne. Ainsi, l’ALCP ne s’applique pas en l’espèce. Il n’existe par ailleurs aucune convention de sécurité sociale entre la Confédération suisse et la République tunisienne.</w:t>
      </w:r>
    </w:p>
    <w:p>
      <w:r>
        <w:rPr>
          <w:b/>
        </w:rPr>
        <w:t>E. 3</w:t>
      </w:r>
    </w:p>
    <w:p>
      <w:r>
        <w:t>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w:t>
      </w:r>
    </w:p>
    <w:p>
      <w:r>
        <w:t>A/2527/2008 - 22/31 - En l’espèce, la recourante allègue, sans être contredite, avoir reçu la décision du mercredi 4 juin 2008, le lundi 9 juin 2008. Ainsi, le recours déposé au greffe du Tribunal cantonal des assurances sociales (alors compétent) le mercredi 9 juillet 2008 intervient en temps utile (art. 60 al. 1 LPGA). Les autres conditions prévues par les art. 56 et ss LPGA étant réalisées, le recours est recevable.</w:t>
      </w:r>
    </w:p>
    <w:p>
      <w:r>
        <w:rPr>
          <w:b/>
        </w:rPr>
        <w:t>E. 4</w:t>
      </w:r>
    </w:p>
    <w:p>
      <w:r>
        <w:t>Le litige porte sur l’octroi de prestations, spécifiquement d’une rente, de l’assurance-invalidité. A cet égard les questions à résoudre portent sur la réalisation de la condition d’assurance et sur l’existence d’un degré d’invalidité donnant droit à l’octroi de prestations. L’OAI considère dans ses dernières écritures que le litige doit être circonscrit à la question de la réalisation de la condition d’assurance qui seule faisait l’objet de la décision litigieuse. Cette opinion est erronée à deux titres. D’une part, la décision entreprise se prononce bel et bien sur l’existence « des parésies du membre supérieur gauche, post poliomyélitiques, des lombalgies chroniques et un status après déchirure de la coiffe des rotateurs de l’épaule gauche », retenant que « ces pathologies ne sont pas reconnues comme maladies invalidantes au sens de l’A.I. » (décision du 4 juin 2008, p. 2, § 3). D’autre part, il ressort de la jurisprudence topique, d’ailleurs citée par l’OAI,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La jurisprudence a considéré qu'il en allait de même des rapports juridiques sur lesquels l'autorité administrative ne s'était, à tort (c'est-à-dire en violation de la maxime inquisitoire ou du principe de l'application du droit d'office), pas prononcée alors qu'elle aurait dû le faire (arrêt I 347/00 du 20 août 2002). En revanche, dans la mesure où aucune décision n'a été rendue, la contestation n'a pas d'objet, et un jugement sur le fond ne peut pas être prononcé (ATF 125 V 413 consid. 1a p. 414). Or, s’il devait être avéré que la condition d’assurance (point qui sera examiné ci- après) est réalisée, ce serait à tort que l’OAI ne se serait pas prononcé sur l’existence ou non d’une invalidité suffisante à l’octroi de prestations. De ce fait, il n’y a pas lieu de limiter l’objet du litige comme le suggère l’OAI.</w:t>
      </w:r>
    </w:p>
    <w:p>
      <w:r>
        <w:t>A/2527/2008 - 23/31 -</w:t>
      </w:r>
    </w:p>
    <w:p>
      <w:r>
        <w:rPr>
          <w:b/>
        </w:rPr>
        <w:t>E. 5</w:t>
      </w:r>
    </w:p>
    <w:p>
      <w:r>
        <w:t>Il convient d’examiner en premier lieu si la condition d’assurance est réalisée, puisqu’en cas de réponse négative, le litige s’en trouverait résolu. a)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1er janvier 1997. En effet, aux termes du nouvel 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 (cf. art. 36 al. 1 LAI) ou dix années de résidence ininterrompue en Suisse. (ATF 126 V 5 consid. 1a) Demeurent toutefois réservées les dispositions dérogatoires des conventions bilatérales de sécurité sociale conclues par la Suisse avec un certain nombre d'Etats pour leurs ressortissants respectifs. En l'occurrence, la Suisse n'a toutefois pas conclu de convention de sécurité sociale avec le pays d'origine de la recourante. Selon l'art. 36 al. 2 LAI, les dispositions de la LAVS sont (sous réserve de l'art. 36 al. 3 LAI) applicables par analogie au calcul des rentes ordinaires (voir à ce propos ATF 124 V 159); le Conseil fédéral peut édicter des prescriptions complémentaires. Selon l'art. 32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ATF 110 V 280 consid. 1a), un assuré peut donc, selon le nouveau droit, satisfaire à l'exigence de la période minimale de cotisations d'une année ouvrant droit à une rente ordinaire de l'AVS/AI, sans avoir payé personnellement des cotisations (ATF 125 V 253, 126 V 5 consid. 1b). b)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w:t>
      </w:r>
    </w:p>
    <w:p>
      <w:r>
        <w:t>A/2527/2008 - 24/31 - l'assuré apprend, pour la première fois, que l'atteinte à sa santé peut ouvrir droit à des prestations d'assurance (ATF 118 V 82 consid. 3a et les références, 126 V 5 consid 2b). S'agissant du droit à une rente, la survenance de l'invalidité se situe au moment où celui-ci prend naissance, conformément à l'art. 29 al. 1 LAI (dans sa version en vigueur jusqu’au 31 décembre 2007), soit dès que l'assuré présente une incapacité de gain durable de 40 pour cent au moins (variante I) ou dès qu'il a présenté, en moyenne, une incapacité de travail de 40 pour cent au moins pendant une année sans interruption notable (variante II), mais au plus tôt le 1er jour du mois qui suit le dix-huitième anniversaire de l'assuré (art. 29 al. 2 LAI; RCC 1984 p. 464 sv. et ATF 126 V 5, consid 2b). Pour admettre la survenance d’un nouveau cas d’assurance, il est nécessaire de pouvoir observer une interruption notable de l’incapacité de gain (ATF 126 V 5, consid. 2c) c)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w:t>
      </w:r>
    </w:p>
    <w:p>
      <w:r>
        <w:t>A/2527/2008 - 25/31 -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d) En l’espèce, il ressort des différents avis concordants du Dr P__________, médecin traitant de la recourante de 1984 au 10 juin 2003, soit avant son arrivée en Suisse, que la capacité de travail n’était pas altérée (attestation du 18 octobre 2006 et réponses au courrier du Tribunal du 11 octobre 2010). Certes, le Dr P__________ était le médecin traitant de la recourante, de sorte que le juge peut et doit tenir compte du fait que selon l’expérience, le médecin traitant est généralement enclin, en cas de doute, à prendre parti pour son patient en raison de</w:t>
      </w:r>
    </w:p>
    <w:p>
      <w:r>
        <w:t>A/2527/2008 - 26/31 - la relation de confiance qui l’unit à ce dernier (ATF 125 V 353, consid. 3b/cc et les références). Toutefois, la portée de cette règle doit être relativisée en l’espèce, puisque le Dr P__________ n’était plus le médecin traitant de la recourante depuis plus de 7 ans au moment où il a répondu aux questions posées par le Tribunal. La relation de confiance entre le médecin et la recourante n’est ainsi plus actuelle. De surcroît, l’avis du Dr P__________ est confirmé par l’audition de la sœur de la recourante (entendue à titre de renseignement) et par l’avis du SMR du 17 janvier 2008. La sœur de la recourante a en effet expliqué au Tribunal qu’à tout le moins jusqu’au 31 décembre 2000, la recourante travaillait à raison d’un horaire de 40 heures par semaine, soit 5 jours par semaine pendant 8 heures entrecoupées d’une pause d’une heure. Elle effectuait les achats, les ventes et la mise en place dans une boutique. Elle pouvait monter et descendre des escaliers, parfois avec des cartons. Certes, la sœur de la recourante a été entendue à titre de renseignement, mais son audition confirme les renseignements fournis par le Dr P__________, de sorte que ladite audition n’est pas le seul élément sur lequel la présente décision est fondée. Quant au rapport du SMR du 17 janvier 2008, il sera rappelé que l’appréciation du Dr O__________ était la suivante : « Concernant la capacité de travail exigible, avant son arrivée en Suisse, l’assurée avait une capacité de travail à 100% dans un travail adapté, elle a d’ailleurs travaillé en France à 100% jusqu’à son licenciement économique en 2001 ». Il n’a ainsi aucun élément permettant de retenir que la capacité de travail de la recourante ait été entamée avant son arrivée en Suisse. Il apparaît au contraire, pour le moins au degré de la vraisemblance prépondérante régissant les assurances sociales, que la capacité de travail de la recourante était entière dans son activité de responsable d’une boutique de vêtements, ceci malgré les séquelles de la poliomyélite. Au contraire, il ressort de l’ensemble des avis médicaux que la recourante a présenté un tableau clinique complexe qui s’est aggravé progressivement depuis l’accident survenu le 4 novembre 2003 et la rupture de la coiffe des rotateurs (notamment : avis du Dr A__________ du 10 novembre 2004, avis du Dr Q__________ du 14 octobre 2008 confirmé lors de son audition du 28 janvier 2010 et avis du Prof. E__________ du 9 novembre 2004 confirmé lors de son audition du 28 mai 2010). e) Comme l’invalidité n’est réputée survenue que dès que l’assuré a présenté une incapacité de travail de 40% au mois durant une année sans interruption notable,</w:t>
      </w:r>
    </w:p>
    <w:p>
      <w:r>
        <w:t>A/2527/2008 - 27/31 - l’invalidité n’a en tous les cas pas pu survenir avant le mois de novembre 2004 au plus tôt. Or, la recourante est mariée depuis le mois d’août 2003 à un assuré qui a cotisé plus du double de la cotisation minimale à tout le moins durant les années 2003 à 2005. Il s’en suit que la condition d’assurance prévue par l’art. 6 al. 2 LAI est réalisée.</w:t>
      </w:r>
    </w:p>
    <w:p>
      <w:r>
        <w:rPr>
          <w:b/>
        </w:rPr>
        <w:t>E. 6</w:t>
      </w:r>
    </w:p>
    <w:p>
      <w:r>
        <w:t>Reste à déterminer si, à quel taux et depuis quand une invalidité propre à entraîner le versement de prestations est intervenue. a) Il ressort du dossier de l’OAI et de l’instruction menée par le Tribunal que les avis de différents médecins sont largement divergents, sans qu’il ne se dégage un avis suffisamment majoritaire, qu’il soit possible de les réconcilier ou de décider avec suffisamment de sécurité sur lequel il y a lieu de se fonder. Le Dr A__________, ancien médecin traitant, considère que la capacité de travail était nulle (avis du 10 novembre 2004). La Dresse J__________, nouveau médecin traitant, considère que la capacité de travail est de 4 heures dans une activité adaptée (avis du 11 janvier 2007) et a indiqué au Tribunal une capacité de travail de 50% dans une activité de vendeuse en cumulant plusieurs périodes d’une demi- heure et de 50 à 60% dans une activité assise (audition du 1er juillet 2010). Le Dr O__________ s’est prononcé en faveur d’une pleine capacité de travail dans toute activité (avis du 10 décembre 2007), avant d’indiquer au Tribunal avoir été trop sévère et de se prononcer en faveur d’une capacité de 75% (audition du 28 janvier 2010). Le Dr Q__________ s’est prononcé en faveur d’une capacité de travail de 50% dans une activité adaptée, mais sans parvenir à imaginer de métier correspondant aux limitations fonctionnelles (avis du 14 décembre 2008 et audition du 28 janvier 2010). Quant au Prof. E__________, il s’est prononcé pour une capacité presque nulle (audition du 20 mai 2010). A cela s’ajoute que la recourante fait état d’un état dépressif et de troubles ophtalmologiques au sujet desquels aucune instruction n’a eu lieu et qui ne font pas l’objet de la décision entreprise. Dans ces conditions, la Chambre des assurances sociales n’est pas en mesure de se prononcer en l’état du dossier. Il convient en effet de procéder à une expertise médicale pluridisciplinaire prenant également en compte les aspects psychiques et ophtalmologiques qui n’ont pas été instruits. Cela fait, il s’impose d’examiner si une activité adaptée entre concrètement en considération (compte tenu des doutes émis notamment par le Dr Q__________), avant d’effectuer, cas échéant, un calcul du degré d’invalidité.</w:t>
      </w:r>
    </w:p>
    <w:p>
      <w:r>
        <w:t>A/2527/2008 - 28/31 -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c) En l’espèce, comme on l’a vu plus haut (consid. 4), il n’y a pas lieu de limiter l’objet du litige et de renvoyer le dossier de manière automatique en cas d’admission de la condition d’assurance. Cependant, comme indiqué plus haut, une expertise médicale seule est insuffisante, puisqu’il s’avèrera par la suite nécessaire, cas échéant, d’examiner si une activité adaptée entre concrètement en considération et de procéder à un calcul du degré d’invalidité. De surcroît, l’instruction médicale doit porter sur de nombreux domaines, dont deux aspects qui n’ont encore pas été pris en compte (état dépressif et troubles ophtalmologiques). Ainsi, bien que les faits n’aient pas été constatés de manière sommaire dans l’idée que le tribunal les éclaircirait, le dossier est par trop incomplet. Il s’en suit que malgré que la demande de prestations remonte à plusieurs années, il se justifie de renvoyer le dossier à l’OAI, étant précisé que l’OAI est mieux outillé pour mener à bien ladite instruction, en particulier s’agissant des mesures d’instruction d’ordre professionnel, de sorte qu’il ne devrait pas découler de ce renvoi un retard particulier. Une telle solution, compte tenu de l’importance de l’instruction complémentaire, s’impose également afin de ne pas priver la recourante d’un degré de juridiction.</w:t>
      </w:r>
    </w:p>
    <w:p>
      <w:r>
        <w:rPr>
          <w:b/>
        </w:rPr>
        <w:t>E. 7</w:t>
      </w:r>
    </w:p>
    <w:p>
      <w:r>
        <w:t>Il s’en suit que le recours sera admis. La décision du 4 juin 2008 annulée, et le dossier renvoyé à l’OAI, afin que, sans délai, il mette en œuvre une expertise médicale pluridisciplinaire indépendante, y compris sous l’angle psychique et ophtalmologique, qu’il détermine si une activité adaptée est cas échéant susceptible d’entrer concrètement en considération et qu’il procède à un calcul du degré d’invalidité, avant de rendre une nouvelle décision.</w:t>
      </w:r>
    </w:p>
    <w:p>
      <w:r>
        <w:t>A/2527/2008 - 29/31 -</w:t>
      </w:r>
    </w:p>
    <w:p>
      <w:r>
        <w:rPr>
          <w:b/>
        </w:rPr>
        <w:t>E. 8</w:t>
      </w:r>
    </w:p>
    <w:p>
      <w:r>
        <w:t>La recourante obtenant gain de cause, une indemnité de 3’500 fr. lui est octroyée, à titre de dépens.</w:t>
      </w:r>
    </w:p>
    <w:p>
      <w:r>
        <w:rPr>
          <w:b/>
        </w:rPr>
        <w:t>E. 9</w:t>
      </w:r>
    </w:p>
    <w:p>
      <w:r>
        <w:t>Un émolument de 500 fr. sera mis à la charge de l’intimé qui succombe.</w:t>
      </w:r>
    </w:p>
    <w:p>
      <w:r>
        <w:t>A/2527/2008 - 30/31 -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