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ATAS/713/2016 vom 12. September 2016</w:t>
      </w:r>
    </w:p>
    <w:p>
      <w:r>
        <w:t>GE Cour de justice, 2016-09-12, FR</w:t>
      </w:r>
    </w:p>
    <w:p>
      <w:r>
        <w:rPr>
          <w:b/>
        </w:rPr>
        <w:t xml:space="preserve">Quelle: </w:t>
      </w:r>
      <w:r>
        <w:t>https://mcp.opencaselaw.ch/entscheid/ge_gerichte_ATAS_713_2016</w:t>
      </w:r>
    </w:p>
    <w:p>
      <w:r>
        <w:t>FR: GE_GERICHTE ATAS/713/2016 du 12 septembre 2016</w:t>
      </w:r>
    </w:p>
    <w:p>
      <w:r>
        <w:t>IT: GE_GERICHTE ATAS/713/2016 del 12 settembre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Interjeté dans les formes et délais légaux, le recours est recevable.</w:t>
      </w:r>
    </w:p>
    <w:p>
      <w:r>
        <w:rPr>
          <w:b/>
        </w:rPr>
        <w:t>E. 4</w:t>
      </w:r>
    </w:p>
    <w:p>
      <w:r>
        <w:t>Le litige porte sur le calcul des prestations complémentaires fédérales et cantonales dues à la recourante, en particulier sur l’estimation de sa fortune mobilière depuis le 1er novembre 2015.</w:t>
      </w:r>
    </w:p>
    <w:p>
      <w:r>
        <w:t>A/1104/2016 - 5/7 - La décision sur opposition du 18 février 2016 porte en effet sur le droit aux prestations de la recourante du 1er novembre 2015 au 29 février 2016 et dès le 1er mars 2016, tout comme la décision de l’intimé de reconsidération du 12 juillet 2016.</w:t>
      </w:r>
    </w:p>
    <w:p>
      <w:r>
        <w:rPr>
          <w:b/>
        </w:rPr>
        <w:t>E. 5</w:t>
      </w:r>
    </w:p>
    <w:p>
      <w:r>
        <w:t>a. En vertu de l'art. 4 al. 1 let. a et c LPC, les personnes qui ont leur domicile et leur résidence habituelle en Suisse ont droit à des prestations complémentaires fédérales, dès lors qu'elles perçoivent une rente de vieillesse de l’assurance- vieillesse et survivants, ou ont droit à une rente ou à une allocation pour impotent de l’assurance-invalidité. b.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un dixième de la fortune nette pour les bénéficiaires de rentes de vieillesse, dans la mesure où elle dépasse 37'500 fr. pour les personnes seules, et les rentes de l’AVS et de l’AI (let. d). c.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d. Selon l'art. 5 LPCC, dans sa teneur dès le 1er janvier 2008,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huitième, respectivement de un cinquième pour les bénéficiaires de rentes de vieillesse, et ce après déduction des franchises prévues par cette disposition (let. c ch. 1). e.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 AVS/AI et art. 9 al. 1 LPCC). f. Selon l’art. 25 al. 1 let. d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120 francs par an.</w:t>
      </w:r>
    </w:p>
    <w:p>
      <w:r>
        <w:t>A/1104/2016 - 6/7 -</w:t>
      </w:r>
    </w:p>
    <w:p>
      <w:r>
        <w:rPr>
          <w:b/>
        </w:rPr>
        <w:t>E. 6</w:t>
      </w:r>
    </w:p>
    <w:p>
      <w:r>
        <w:t>En l’espèce, la recourante a contesté le montant de l’épargne retenu par l’intimé, soit CHF 7'927.70, au motif que, postérieurement au décès de son époux, le 12 octobre 2015, l’épargne avait diminué, ce qu’attestaient les relevés de ses comptes au 31 décembre 2015 auprès de la BCGE, de l’UBS et de la Banque Migros, ainsi que ceux auprès d’une banque roumaine et d’une banque espagnole, dont les relevés au 31 décembre 2015 allaient être transmis, car pas encore en sa possession. L’intimé, en reconsidérant la décision litigieuse le 12 juillet 2016, a retenu, comme requis par la recourante, une épargne de CHF 498.35 et une dette de CHF 2'108.95 depuis le 1er janvier 2016, conformément aux derniers relevés bancaires transmis par la recourante ; selon ce dernier calcul le produit de la fortune est de CHF 1'105.55, de sorte qu’un solde de CHF 7.- revient à la recourante pour la période du 1er janvier 2016 au 31 juillet 2016. La recourante n’a pas fait d’observations à la suite de cette décision, qui correspond à ses conclusions, étant par ailleurs relevé que la prise en compte du montant de l’épargne dès le 1er novembre 2015 n’a pas d’incidence sur le montant de la fortune, puisque celle-ci est nulle, que ce soit pour le calcul des PCF ou des PCC et que les intérêts de l’épargne retenus, de CHF 8.95, sont largement inférieurs à la limite de CHF 120.- fixée à l’art. 25, al. 1, let. d, OPC-AVS/AI précité. Il convient dès lors de constater que le litige n’a plus d’objet.</w:t>
      </w:r>
    </w:p>
    <w:p>
      <w:r>
        <w:rPr>
          <w:b/>
        </w:rPr>
        <w:t>E. 7</w:t>
      </w:r>
    </w:p>
    <w:p>
      <w:r>
        <w:t>Partant, la cause sera rayée du rôle. Pour le surplus, la procédure est gratuite.</w:t>
      </w:r>
    </w:p>
    <w:p>
      <w:r>
        <w:t>A/1104/2016 - 7/7 -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