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ATAS/712/2014 vom 16. Juni 2014</w:t>
      </w:r>
    </w:p>
    <w:p>
      <w:r>
        <w:t>GE Cour de justice, 2014-06-16, FR</w:t>
      </w:r>
    </w:p>
    <w:p>
      <w:r>
        <w:rPr>
          <w:b/>
        </w:rPr>
        <w:t xml:space="preserve">Quelle: </w:t>
      </w:r>
      <w:r>
        <w:t>https://mcp.opencaselaw.ch/entscheid/ge_gerichte_ATAS_712_2014</w:t>
      </w:r>
    </w:p>
    <w:p>
      <w:r>
        <w:t>FR: GE_GERICHTE ATAS/712/2014 du 16 juin 2014</w:t>
      </w:r>
    </w:p>
    <w:p>
      <w:r>
        <w:t>IT: GE_GERICHTE ATAS/712/2014 del 16 giugno 2014</w:t>
      </w:r>
    </w:p>
    <w:p>
      <w:pPr>
        <w:pStyle w:val="Heading2"/>
      </w:pPr>
      <w:r>
        <w:t>Erwägungen</w:t>
      </w:r>
    </w:p>
    <w:p>
      <w:r>
        <w:rPr>
          <w:b/>
        </w:rPr>
        <w:t>E. 1</w:t>
      </w:r>
    </w:p>
    <w:p>
      <w:r>
        <w:t>Par arrêt incident du 4 octobre 2013, la Cour de céans a déclaré le recours recevable (ATAS/973/2013).</w:t>
      </w:r>
    </w:p>
    <w:p>
      <w:r>
        <w:t>A/2954/2013 - 9/16 -</w:t>
      </w:r>
    </w:p>
    <w:p>
      <w:r>
        <w:rPr>
          <w:b/>
        </w:rPr>
        <w:t>E. 2</w:t>
      </w:r>
    </w:p>
    <w:p>
      <w:r>
        <w:t>L’objet du litige porte sur le bien-fondé de la décision du 7 août 2013 de suppression du trois-quarts de rente d’invalidité du recourant.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soit une décsion de suppression de rente d’invalidité du 7 août 2013, le droit éventuel aux prestations doit être examiné au regard du nouveau droit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A/2954/2013 - 10/16 -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w:t>
      </w:r>
    </w:p>
    <w:p>
      <w:r>
        <w:t>A/2954/2013 - 11/16 -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A/2954/2013 - 12/16 -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9</w:t>
      </w:r>
    </w:p>
    <w:p>
      <w:r>
        <w:t>En l’espèce, l’intimé fonde sa décision de suppression du trois-quarts de rente d’invalidité du recourant sur l’expertise du Dr R______ du 3 décembre 2012. Celle-ci fixe une exigibilité immédiate de 80 % dans une activité adaptée, soit une activité exercée en diminuant les mouvements en porte à faux, le port de charge de plus de 10 kg et les longs trajets en véhicule de plus de 2 heures. Elle retient que la situation s’est améliorée depuis l’examen SMR du 16 septembre 2008 par la disparition de l’amyotrophie ou de signe parlant en faveur d’un déconditionnement musculaire. La Cour de céans constate toutefois que le Dr R______ ne mentionne aucune amélioration de l’état de santé du recourant depuis les expertises des Drs M______</w:t>
      </w:r>
    </w:p>
    <w:p>
      <w:r>
        <w:t>A/2954/2013 - 13/16 - (2004) et N______ (2008), hormis la disparition du déconditionnement musculaire, lequel avait été constaté antérieurement par le Dr N______. On se trouve, à cet égard, en présence de deux avis médicaux contradictoires dès lors que le Dr N______ avait constaté en 2008 un important trouble statique dans un contexte de déconditionnement musculaire avancé avec dysbalance, raccourcissement de la musculature ischio-jambiers et relâchement important de la sangle abdominale et une péjoration de l’état de santé depuis l’expertise du Dr M______ en 2004 (progression du trouble statique et déconditionnement musculaire). Or le Dr R______ n’explique pas pour quelle raison, en l’absence de tout réentraînement progressif à l’effort ou reconditionnement musculaire du recourant depuis 2008, ce dernier aurait présenté, de ce point de vue, une nette amélioration de son état de santé, ce d’autant que la période d’invalidité relevée comme facteur aggravant par le Dr N______ était non plus de 6 ans mais de 10 ans au jour de l’expertise du Dr R______. Qui plus est, les limitations fonctionnelles fixées par le Dr M______ en 2004 et le Dr N______ en 2008 se rapportent à une profession adaptée qui doit être assise, évitant le port de charge, les positions debout prolongées, les déplacements nombreux, le changement fréquents de position, les travaux au-dessus de la tête, toute posture entraînant une extension de la colonne vertébrale (expertise du Dr M______), le port de charge de plus de 7,5 kg de façon répétitive, la position en antéflexion ou en porte-à-faux du rachis contre résistance, la position statique au-delà de 40 minutes sans possibilité de varier les positions assises et debout, la montée/descente d’escaliers à répétition, la position en génuflexion ou accroupie à répétition, toute activité en hauteur ou sur terrain instable et l’exposition à des machines/outils réalisant des vibrations de 5 Hertz ou plus (expertise du Dr N______). Or, le Dr R______ se borne à relever, comme limitations fonctionnelles, une nécessité de diminuer, mais non pas d’éviter, les mouvements en porte-à-faux avec long bras de levier, les déplacements immobiles de plus de deux heures en véhicule et le port de charge de plus de 10 kg, soit des limitations fonctionnelles moins importantes, sans pour autant expliquer en quoi l’état de santé du recourant se serait amélioré. Au vu de ce qui précède, l’expertise du Dr R______ ne revêt pas une entière force probante. Dans ces conditions, il convient d’ordonner une nouvelle expertise rhumatologique, ce d’autant que le recourant a fait état d’une aggravation de son état de santé pour la survenance d’une crise douloureuse et paralysie aux bras en mai 2013, avec soupçon de la présence d’une hernie cervicale (procès-verbal de comparution personnelle du 4 novembre 2013). Par ailleurs, du point de vue psychique, le Dr P______ a invoqué le 21 mars 2012, un état psychique anormal à l’origine d’une difficulté de prise en charge médicale ; le recourant, lors de l’audience de comparution personnelle du 4 novembre 2013, a aussi expliqué qu’il présentait d’importants problèmes de sommeil, qu’il dormait très peu et jamais la nuit.</w:t>
      </w:r>
    </w:p>
    <w:p>
      <w:r>
        <w:t>A/2954/2013 - 14/16 -</w:t>
      </w:r>
    </w:p>
    <w:p>
      <w:r>
        <w:t>Dans ces conditions, la question d’une éventuelle expertise psychiatrique se pose. Toutefois, la Cour ordonnera dans un premier temps une expertise rhumatologique et, selon les résultats de celle-ci, examinera l’opportunité d’une telle expertise psychiatrique.</w:t>
      </w:r>
    </w:p>
    <w:p>
      <w:r>
        <w:rPr>
          <w:b/>
        </w:rPr>
        <w:t>E. 10</w:t>
      </w:r>
    </w:p>
    <w:p>
      <w:r>
        <w:t>En conséquence, il convient d'ordonner une expertise rhumatologique, laquelle sera confiée au Dr U______, FMH rhumatologie, CHUV, service de rhumatologie, hôpital orthopédique, à Lausanne.</w:t>
      </w:r>
    </w:p>
    <w:p>
      <w:r>
        <w:t>A/2954/2013 - 15/16 - PAR CES MOTIFS, LA CHAMBRE DES ASSURANCES SOCIALES : Statuant Préparatoirement : 1. Ordonne une expertise médicale. La confie au Dr U______. Dit que la mission d’expertise sera la suivante : a. Prendre connaissance du dossier de la cause. b. Si nécessaire prendre tous renseignements auprès des médecins ayant traité M. A______, notamment le Dr P______. c. Examiner M. A______. d. Etablir un rapport détaillé et répondre aux questions suivantes: e. Quelle est l’anamnèse détaillée du cas ? f. Quelles sont les plaintes de M. A______ ? g. Quelle est l’atteinte à la santé dont souffre M. A______ (diagnostics avec et sans répercussion sur la capacité de travail, dates d'apparition) ? h. Quel est le status détaillé et l'évolution du status depuis le début de l'atteinte ? i. M. A______ présente-t-il un déconditionnement musculaire ? Si oui, de quelle intensité ? Empêche-t-il une reprise immédiate d’une activité lucrative ? j. M. A______ suit-il un traitement adéquat ? k. Quelles sont les limitations fonctionnelles ? l. L’état de santé de M. A______ s’est-il amélioré depuis la décision de rente de l’OAI du 8 mai 2006 ? Si oui, de quelle manière ? En particulier, cette amélioration a-t-elle conduit à une capacité de travail supérieure à celle de 50 % retenue dans la décision précitée ? m. 1. Compte tenu de vos diagnostics, M. A______ pourrait-il exercer une activité lucrative ? Si non, pourquoi ?</w:t>
      </w:r>
    </w:p>
    <w:p>
      <w:r>
        <w:t>Si oui, laquelle ? A quel taux ? Depuis quelle date ? 2. Quel est votre pronostic quant à l’exigibilité de la reprise d’une activité lucrative ? En particulier l'ancienne activité est-elle exigible ? Si non, une activité adaptée est-elle possible ? En particulier depuis 2013 ? Si non ou dans une mesure restreinte, pour quels motifs ? 3. Quelles sont les limitations fonctionnelles qui entrent en ligne de compte ? Des mesures médicales sont-elles nécessaires préalablement à la reprise d’une activité lucrative ? Si oui, lesquelles ?</w:t>
      </w:r>
    </w:p>
    <w:p>
      <w:r>
        <w:t>A/2954/2013 - 16/16 - n. Etes-vous d'accord avec l'avis du Dr M______ du 27 août 2004 ? En particulier avec les limitations fonctionnelles constatées et l'estimation d'une capacité de travail à 50 % dans une activité adaptée, puis supérieure moyennant une rééducation ? Si non, pourquoi ? o. Etes-vous d’accord avec l’avis du Dr N______ du SMR du 25 septembre 2008 ? En particulier avec les limitations fonctionnelles constatées et l’estimation d’une capacité de travail de 50 % puis, moyennant un reconditionnement musculaire progressif, de 80 % ? Si non, pourquoi ? p. Etes-vous d’accord avec l’avis du Dr R______ du 3 décembre 2012 ? En particulier avec les limitations fonctionnelles constatées et l’estimation d’une capacité de travail immédiate, sans reconditionnement musculaire, de 80 % dans une activité adaptée ? Si non, pourquoi ? q. Quel est le pronostic ? r. Au vu du dossier, votre réponse aux questions susmentionnées aurait-elle été identique à la date de la décision rendue par l’Office cantonal de l’assurance- invalidité, soit le 7 août 2013 ? Si non, pourquoi et quelles sont les réponses qui varient ? Si oui, pourquoi ? s. Des mesures de réadaptation professionnelle sont-elles envisageables ? t.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