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ATAS/711/2016 vom 13. September 2016</w:t>
      </w:r>
    </w:p>
    <w:p>
      <w:r>
        <w:t>GE Cour de justice, 2016-09-13, FR</w:t>
      </w:r>
    </w:p>
    <w:p>
      <w:r>
        <w:rPr>
          <w:b/>
        </w:rPr>
        <w:t xml:space="preserve">Quelle: </w:t>
      </w:r>
      <w:r>
        <w:t>https://mcp.opencaselaw.ch/entscheid/ge_gerichte_ATAS_711_2016</w:t>
      </w:r>
    </w:p>
    <w:p>
      <w:r>
        <w:t>FR: GE_GERICHTE ATAS/711/2016 du 13 septembre 2016</w:t>
      </w:r>
    </w:p>
    <w:p>
      <w:r>
        <w:t>IT: GE_GERICHTE ATAS/711/2016 del 13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A/1516/2016 4/5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22 juin 2005, d’autre part le 5 avril 2016, date à laquelle le jugement de divorce est devenu exécutoire.</w:t>
      </w:r>
    </w:p>
    <w:p>
      <w:r>
        <w:rPr>
          <w:b/>
        </w:rPr>
        <w:t>E. 5</w:t>
      </w:r>
    </w:p>
    <w:p>
      <w:r>
        <w:t>Selon les documents produits, la prestation acquise pendant le mariage par le demandeur est de CHF 38'389.50, mais il n’y a pas, du côté de la demanderesse, d’avoir de prévoyance accumulé pendant le mariage qui serait susceptible d’être partagé du fait que, nonobstant le fait qu’elle a dû cotiser aussi à l’épargne dès le 1er janvier 2011 (postérieur à ses 24 ans [art. 7 al. 1 in fine LPP]), elle a été mise au bénéfice d’une rente d’invalidité dès le 1er février 2013. Ainsi, c’est le demandeur qui doit à son ex-épouse le montant de CHF 19'194.75 (CHF 38'389.50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A/1516/2016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