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ATAS/710/2021 vom 30. Juni 2021</w:t>
      </w:r>
    </w:p>
    <w:p>
      <w:r>
        <w:t>GE Cour de justice, 2021-06-30, FR</w:t>
      </w:r>
    </w:p>
    <w:p>
      <w:r>
        <w:rPr>
          <w:b/>
        </w:rPr>
        <w:t xml:space="preserve">Quelle: </w:t>
      </w:r>
      <w:r>
        <w:t>https://mcp.opencaselaw.ch/entscheid/ge_gerichte_ATAS_710_2021</w:t>
      </w:r>
    </w:p>
    <w:p>
      <w:r>
        <w:t>FR: GE_GERICHTE ATAS/710/2021 du 30 juin 2021</w:t>
      </w:r>
    </w:p>
    <w:p>
      <w:r>
        <w:t>IT: GE_GERICHTE ATAS/710/2021 del 30 giugno 2021</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délai de recours est de trente jours (art. 56 LPGA; art. 62 al. 1 de la loi sur la procédure administrative du 12 septembre 1985 [LPA - E 5 10]). Interjeté dans la forme et le délai prévus par la loi, le recours est recevable.</w:t>
      </w:r>
    </w:p>
    <w:p>
      <w:r>
        <w:t>A/4235/2019 - 8/17 -</w:t>
      </w:r>
    </w:p>
    <w:p>
      <w:r>
        <w:rPr>
          <w:b/>
        </w:rPr>
        <w:t>E. 4.3</w:t>
      </w:r>
    </w:p>
    <w:p>
      <w:r>
        <w:t>; arrêt du Tribunal fédéral 9C_618/2019 du 16 mars 2020 consid. 8.2).</w:t>
      </w:r>
    </w:p>
    <w:p>
      <w:r>
        <w:rPr>
          <w:b/>
        </w:rPr>
        <w:t>E. 5</w:t>
      </w:r>
    </w:p>
    <w:p>
      <w:r>
        <w:t>Le litige porte sur le droit à la rente de la recourante.</w:t>
      </w:r>
    </w:p>
    <w:p>
      <w:r>
        <w:rPr>
          <w:b/>
        </w:rPr>
        <w:t>E. 6</w:t>
      </w:r>
    </w:p>
    <w:p>
      <w:r>
        <w:t>En premier lieu, la recourante se prévaut de la violation de son droit d’être entendu, du fait que l’intimé ne lui a pas notifié un nouveau projet de décision après l’annulation de sa décision du 2 septembre 2019 et la reprise de la procédure d’audition. a. En vertu de l’art. 57a LAI, l’office AI est tenu de communiquer à l’assuré un préavis au sujet de la décision finale qu’il entend prendre. L’assuré a le droit d’être entendu (al. 1). Les parties peuvent faire part de leurs observations concernant le préavis dans un délai de 30 jours (al. 2). b. En l’espèce, l’intimé a envoyé le 25 juin 2019 un préavis au sens de l’art. 57a al. 1 LAI. Par la suite, il n’a pas modifié son projet de décision, mais a annulé uniquement sa décision du 2 septembre suivant. Le projet de décision étant resté identique, l’intimé n’avait pas à envoyer un nouveau projet, ayant déjà satisfait à l’obligation d’envoyer un préavis afin de respecter le droit d’être entendu. L’annulation de la décision du 2 septembre 2019 avait uniquement pour conséquence la reprise de la procédure d’audition et l’examen des observations de la recourante du 30 août 2019 avant de statuer par une décision formelle. Partant, ce grief est infondé.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w:t>
      </w:r>
    </w:p>
    <w:p>
      <w:r>
        <w:t>A/4235/2019 - 9/17 -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10</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ATF 130 V 396 consid. 5.3 et 6). b. Dans l’ATF 141 V 281, le Tribunal fédéral a revu et modifié en profondeur le schéma d'évaluation de la capacité de travail, respectivement de l'incapacité de travail, en cas de syndrome douloureux somatoforme et d'affections psychosomatiques comparables. Il est à préciser à cet égard que les principes jurisprudentiels développés en matière de troubles somatoformes douloureux sont également applicables à la fibromyalgie (ATF 132 V 65 consid. 4.1). Notre Haute Cour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w:t>
      </w:r>
    </w:p>
    <w:p>
      <w:r>
        <w:t>A/4235/2019 - 10/17 -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w:t>
      </w:r>
    </w:p>
    <w:p>
      <w:r>
        <w:rPr>
          <w:b/>
        </w:rPr>
        <w:t>E. 11</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w:t>
      </w:r>
    </w:p>
    <w:p>
      <w:r>
        <w:t>A/4235/2019 - 11/17 -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w:t>
      </w:r>
    </w:p>
    <w:p>
      <w:r>
        <w:rPr>
          <w:b/>
        </w:rPr>
        <w:t>E. 12</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A/4235/2019 - 12/17 -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A/4235/2019 - 13/17 -</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 Cst. étant toujours valable (ATF 124 V 90 consid. 4b; ATF 122 V 157 consid. 1d).</w:t>
      </w:r>
    </w:p>
    <w:p>
      <w:r>
        <w:rPr>
          <w:b/>
        </w:rPr>
        <w:t>E. 15</w:t>
      </w:r>
    </w:p>
    <w:p>
      <w:r>
        <w:t>a. En l’occurrence, la recourante a fait l’objet d’une expertise sur les plans de médecine interne, rhumatologie, orthopédie et psychiatrie. Selon les experts, elle présente les diagnostics suivants, avec impact sur la capacité de travail : arthrose débutante des IPD des deux mains, tenosynovite du tendon fléchisseur du Vème doigt à gauche, lombalgies basses sur protrusion discale L4-L5 médiane et paramédiane gauche avec arthrose interfacettaire postérieure L4-L5 et L5-S1 gauche, syndrome des loges antéro-externe et postérieur bilatéral des jambes, talalgies bilatérales avec une insertionite de l’aponévrose plantaire aux deux calcanéums. Dans les diagnostics sans impact sur la capacité de travail, est mentionné notamment un épisode dépressif moyen avec syndrome somatique. Le syndrome des loges aux deux jambes entraîne une impossibilité à maintenir la station debout statique et des difficultés à monter et à descendre les escaliers. Il impose de marcher lentement et limite le périmètre de marche à 200 m environ. Les lombalgies basses limitent les efforts de soulèvement à partir du sol, les positions de porte à faux ou tronc fléchi en avant et le port de charges lourdes de plus de 5 kg. La ténosynovite du tendon fléchisseur du Vème doigt à gauche et l’arthrose débutante des IPD des deux mains contre-indiquent les mouvements répétitifs de la main et le port d’objets lourds à bout de bras. Par ailleurs, même si l’épisode dépressif moyen ne peut être reconnu comme invalidant, il implique une limitation fonctionnelle pour le maintien d’une attention et d’une concentration importante. La capacité de travail globale dans l’activité habituelle est de 25% depuis septembre 2017, soit à 50% avec une diminution de rendement de 50%.</w:t>
      </w:r>
    </w:p>
    <w:p>
      <w:r>
        <w:t>A/4235/2019 - 14/17 - L’incapacité de travail est liée uniquement à la problématique orthopédique et rhumatologique. La capacité de travail est de 100 % dans une activité adaptée aux limitations fonctionnelles. b. Cette expertise remplit en principe tous les réquisits jurisprudentiels pour lui reconnaître une pleine valeur probante. Elle a été en effet établie en connaissance du dossier médical complet, prend en considération les plaintes de la recourante et repose sur des examens approfondis. Ses conclusions sont cohérentes et convaincantes.</w:t>
      </w:r>
    </w:p>
    <w:p>
      <w:r>
        <w:rPr>
          <w:b/>
        </w:rPr>
        <w:t>E. 16</w:t>
      </w:r>
    </w:p>
    <w:p>
      <w:r>
        <w:t>La recourante conteste la valeur probante de cette expertise au motif que les experts n’indiquent pas pourquoi elle présente encore une capacité de travail dans une activité adaptée à ses limitations fonctionnelles ni quelles activités elle pourrait encore exercer. Elle reproche aussi aux experts de s’être écartés des appréciations de la capacité de travail par son médecin traitant sans indiquer pour quelles raisons. Enfin, elle juge l’expertise lacunaire en ce que les experts n’ont pas retenu un syndrome douloureux chronique. a. Il ne fait pas de doute que si une activité professionnelle respecte les limitations fonctionnelles, elle peut être exercée à 100% par la personne atteinte dans sa santé. Partant, la conclusion dans ce sens des experts n’est guère critiquable, étant rappelé qu’ils ont retenu des limitations pour la station débout statique, la marche rapide, la montée et la descente d’escaliers, les positions de porte à faux, le port de charges et les mouvements répétitifs de la main. Au niveau cognitif, il y a une limitation pour la concentration et l’attention. b. Savoir si une activité adaptée existe constitue une autre question. Comme l’intimé l’a relevé à juste titre, il n’appartient pas aux médecins de répondre à cette question, mais aux spécialistes en réadaptation (ATF 107 V 17 consid. 2b; SVR 2006 IV n° 10 p. 39). En ce que l’expertise ne répond pas à cette question, elle ne peut donc être considérée comme lacunaire. c. Comme exposé ci-dessus, le fait qu’une expertise s’écarte de l’avis du médecin traitant ne peut justifier la mise en œuvre d’une nouvelle expertise, à moins que les médecins traitants fassent état d'éléments objectivement vérifiables et pertinents qui ont été ignorés dans le cadre de l'expertise. En l’espèce, les experts avaient connaissance de l’appréciation de la médecin traitante et c’est donc en toute connaissance de cause qu’ils s’en sont écartés. La recourante ne fait pas non plus état d’un élément médical nouveau qu’ils auraient ignoré. Les experts admettent en outre que la recourante présente une incapacité de travail de 25% en tant que femme de ménage, ce qui correspond à son taux d’activité de 50% au moment de l’expertise avec un rendement de 50%. Il est vrai qu’on pourrait douter qu’elle puisse encore travailler à 25% dans ce métier au vu du témoignage de M. M______. Quel employeur accepterait par ailleurs que sa femme de ménage prenne deux fois plus de temps pour le nettoyage ? Toutefois, dès lors qu’une</w:t>
      </w:r>
    </w:p>
    <w:p>
      <w:r>
        <w:t>A/4235/2019 - 15/17 - capacité de travail dans une activité adaptée a été admise, cette question peut rester ouverte. d. S’agissant du diagnostic de trouble somatoforme persistant, il sied de relever que seule la Dresse G______ en fait état, en mettant entre parenthèse « fibromyalgie ». Il est vrai que ce dernier diagnostic doit être posé par le rhumatologue (ATF 132 V 65 consid. 4.3 p. 72), contrairement au syndrome douloureux chronique dont le diagnostic est dans la compétence du psychiatre. In casu, l’expert rhumatologue a bel et bien examiné si la recourante souffrait d’une fibromyalgie et est arrivé à la conclusion que ce diagnostic devait être écarté. En effet, à la page 26 de l’expertise, il déclare expressément « Pas de signes de fibromyalgie aux membres supérieurs », puis plus loin « Pas de signes de fibromyalgie aux membres inférieurs ». Aucun trouble somatoforme persistant n’a pour le surplus été constaté, dès lors qu’il n’y a pas d’incohérence, sur le plan orthopédique et rhumatologique, entre les plaintes de la recourante, l’examen clinique et les diagnostics. La seule incohérence constatée concerne l’intensité des plaintes. Toutefois, l’allégation de douleurs insupportables n’est pas crédible, dans la mesure où il n’est pas perçu de faciès exprimant une douleur morale ou une douleur physique. Étant donné que l’intensité des douleurs ne peut être mesurée, il y a lieu de l’apprécier en fonction des indicateurs jurisprudentiels susmentionnés, lorsque cette intensité ne peut être corrélée à un substrat organique subjectif. Or, l’incohérence constatée exclut en l'occurrence que la douleur alléguée puisse être considérée comme incapacitante. e. Les griefs de la recourante sont dès lors infondés et ne sont pas propres à mettre en cause la valeur probante de l’expertise.</w:t>
      </w:r>
    </w:p>
    <w:p>
      <w:r>
        <w:rPr>
          <w:b/>
        </w:rPr>
        <w:t>E. 17</w:t>
      </w:r>
    </w:p>
    <w:p>
      <w:r>
        <w:t>S’agissant d’une activité adaptée, l’intimé a cité des activités de surveillance, de contrôle dans l’industrie légère, notamment à l’établi et dans le conditionnement léger (par exemple remplissage de boîtes de médicaments, de chocolats, de crayons, de produits esthétiques etc.). Cependant, en raison des limitations fonctionnelles relevées par les experts, il y a de sérieux doutes que ces activités soient adaptées. En ce qui concerne le conditionnement léger à la main, il paraît douteux qu’une telle activité existe encore dans l’économie du marché, dans la mesure où l’industrie est de plus en plus mécanisée. De surcroît, une telle activité n’est pas adaptée aux handicaps de la recourante, étant rappelé que, selon les experts, les mouvements répétitifs des mains sont proscrits. Concernant le contrôle, un tel travail semble contre-indiqué compte tenu des problèmes de maintien de l’attention. Au demeurant, le service de réadaptation n'est pas en mesure d'indiquer une activité adaptée aux limitations fonctionnelles de la recourante, sans avoir pu l’observer.</w:t>
      </w:r>
    </w:p>
    <w:p>
      <w:r>
        <w:t>A/4235/2019 - 16/17 - Partant, il y a lieu de suivre les conclusions de l'intimé et de lui renvoyer la cause pour instruction complémentaire sous forme d'une mesure d'orientation professionnelle.</w:t>
      </w:r>
    </w:p>
    <w:p>
      <w:r>
        <w:rPr>
          <w:b/>
        </w:rPr>
        <w:t>E. 18</w:t>
      </w:r>
    </w:p>
    <w:p>
      <w:r>
        <w:t>Tant que cette orientation professionnelle n'a pas été exécutée, il n'y a pas lieu de porter une appréciation définitive sur la capacité de travail de la recourante. En effet, les constatations médicales peuvent être complétées par des renseignements d’ordre professionnel, par exemple au terme d'un stage dans un centre d'observation professionnel, en vue d'établir concrètement dans quelle mesure l'assuré est à même de mettre en valeur une capacité de travail et de gain sur le marché du travail. Il appartient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19</w:t>
      </w:r>
    </w:p>
    <w:p>
      <w:r>
        <w:t>Au vu de ce qui précède, le recours sera partiellement admis et la décision annulée. La cause sera par ailleurs renvoyée à l'intimé pour instruction complémentaire au sens des considérants.</w:t>
      </w:r>
    </w:p>
    <w:p>
      <w:r>
        <w:rPr>
          <w:b/>
        </w:rPr>
        <w:t>E. 20</w:t>
      </w:r>
    </w:p>
    <w:p>
      <w:r>
        <w:t>La recourante obtenant partiellement gain de cause, une indemnité de CHF 2’000.- lui sera accordée à titre de participation à ses frais et dépens (art. 61 let. g LPGA; art. 6 du règlement sur les frais, émoluments et indemnités en matière administrative du 30 juillet 1986 [RFPA - E 5 10.03]). Au vu du sort du recours, il y a lieu de condamner l'intimé au paiement d'un émolument de CHF 200.- (art. 69 al. 1bis LAI).</w:t>
      </w:r>
    </w:p>
    <w:p>
      <w:r>
        <w:t>A/4235/2019 - 17/17 -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