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ATAS/710/2008 vom 17. Juni 2008</w:t>
      </w:r>
    </w:p>
    <w:p>
      <w:r>
        <w:t>GE Cour de justice, 2008-06-17, FR</w:t>
      </w:r>
    </w:p>
    <w:p>
      <w:r>
        <w:rPr>
          <w:b/>
        </w:rPr>
        <w:t xml:space="preserve">Quelle: </w:t>
      </w:r>
      <w:r>
        <w:t>https://mcp.opencaselaw.ch/entscheid/ge_gerichte_ATAS_710_2008</w:t>
      </w:r>
    </w:p>
    <w:p>
      <w:r>
        <w:t>FR: GE_GERICHTE ATAS/710/2008 du 17 juin 2008</w:t>
      </w:r>
    </w:p>
    <w:p>
      <w:r>
        <w:t>IT: GE_GERICHTE ATAS/710/2008 del 17 giugno 2008</w:t>
      </w:r>
    </w:p>
    <w:p>
      <w:pPr>
        <w:pStyle w:val="Heading2"/>
      </w:pPr>
      <w:r>
        <w:t>Erwägungen</w:t>
      </w:r>
    </w:p>
    <w:p>
      <w:r>
        <w:rPr>
          <w:b/>
        </w:rPr>
        <w:t>E. 1</w:t>
      </w:r>
    </w:p>
    <w:p>
      <w:r>
        <w:t>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Déposé dans les forme et délai imposés par la loi, le présent recours est recevable, en vertu des art. 56ss LPGA.</w:t>
      </w:r>
    </w:p>
    <w:p>
      <w:r>
        <w:rPr>
          <w:b/>
        </w:rPr>
        <w:t>E. 4</w:t>
      </w:r>
    </w:p>
    <w:p>
      <w:r>
        <w:t>Préalablement, il y a lieu d'examiner la plainte de la recourante selon laquelle son droit d'être entendu a été violé.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est toutefois réparée lorsque l'intéressé ne subit aucun préjudice de ce fait. La réparation du vice est cependant exclue en cas de violation particulièrement grave des droits des parties (HAEFELIN/ MUELLER/UHLMANN, Allgemeines Verwaltungsrecht, 2006, p. 204, ch. 986 s., et références y citées). Elle est admise lorsque la partie lésée a la</w:t>
      </w:r>
    </w:p>
    <w:p>
      <w:r>
        <w:t>A/1748/2004 - 10/15 - possibilité de s'exprimer devant une autorité de recours jouissant d'un plein pouvoir d'examen, mais la réparation d'un vice éventuel ne doit avoir lieu qu'exceptionnellement (ATF 127 V 437 consid. 3d/aa, 126 I 72, 126 V 132 consid. 2b et les références). En l'espèce, il y a lieu d'admettre que le vice de procédure est réparé puisque la recourante a pu consulter l'expertise litigieuse et se déterminer sur son contenu dans le cadre de la présente procédure.</w:t>
      </w:r>
    </w:p>
    <w:p>
      <w:r>
        <w:rPr>
          <w:b/>
        </w:rPr>
        <w:t>E. 5</w:t>
      </w:r>
    </w:p>
    <w:p>
      <w:r>
        <w:t>La question litigieuse est de savoir si les troubles dont souffre la recourante ouvrent le droit aux prestations au sens de la LAI.</w:t>
      </w:r>
    </w:p>
    <w:p>
      <w:r>
        <w:rPr>
          <w:b/>
        </w:rPr>
        <w:t>E. 6</w:t>
      </w:r>
    </w:p>
    <w:p>
      <w:r>
        <w:t>Selon l’art. 4 al. 1er LAI, repris par l'art. 8 LPGA,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1er LAI - dans sa teneur jusqu'au 31 décembre 2003 - qui dispose que l’assuré a droit à une rente s’il est invalide à 40 % au moins. La rente est entière pour une invalidité de 66 2/3 % au moins, elle est d’une demie pour une invalidité de 50 % au moins et d’un quart pour une invalidité de 40 % au moins, en vertu du deuxième alinéa. Depuis l'entrée en vigueur, le 1er janvier 2004, de la novelle du 21 mars 2003 modifiant la LAI (4ème révision l'assuré a droit à une rente s'il est invalide à 40 % au moins, puis la rente est échelonnée comme suit, selon le taux d'invalidité : 40 % au moins un quart, 50 % au moins une demie, 60 % au moins trois-quarts, 70 % au moins rente entière. A noter que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Parmi les atteintes à la santé psychique, qui peuvent, comme les atteintes physiques, provoquer une invalidité au sens de l'art. 4 al. 1 LAI en liaison avec l'art.</w:t>
      </w:r>
    </w:p>
    <w:p>
      <w:r>
        <w:rPr>
          <w:b/>
        </w:rPr>
        <w:t>E. 8</w:t>
      </w:r>
    </w:p>
    <w:p>
      <w:r>
        <w:t>S'agissant de la valeur probante des deux expertises figurant au dossier, le Tribunal constate, qu'en effet, la première expertise ne remplit pas les exigences jurisprudentielles. Relativement sommaire, elle comporte en outre davantage d'hypothèses que de véritables conclusions. L'expert exprime surtout l'avis de la recourante, même s'agissant de la capacité résiduelle de travail, alors que l'on attend de lui, au contraire, qu'il la détermine, sur la base de l'anamnèse, des pièces au dossier et de son examen clinique. Même pour les diagnostics, l'expert n'explique pas ce qui le fonde à retenir, par exemple, une neurasthénie et non une fibromyalgie, dont le SMR a signalé, à juste titre, que ces deux maladies ont un tableau clinique proche et figurent sous le même libellé de la CIM, de sorte que les différents critères jurisprudentiels auraient dû être examinés même vis-à-vis d'une neurasthénie. Par conséquent, c'est à juste titre que le SMR a mandaté un second expert. On ne peut pas voir là, à l'instar de la recourante, une volonté d'obtenir à tout prix des réponses aux questions conformes au désir - supposé - de l'OCAI de refuser toute prestation.</w:t>
      </w:r>
    </w:p>
    <w:p>
      <w:r>
        <w:t>A/1748/2004 - 14/15 - Certes, il apparaît que l'expert psychiatre K_________ a travaillé, antérieurement, pour le SMR en qualité de médecin-conseil. Cela ne saurait toutefois dénier toute valeur probante à son expertise. Au contraire, il faut constater que cette expertise est complète, bien documentée, que l'expert se montre clair et convaincant lorsqu'il explique pour quelle raison il retient les diagnostics de trouble dépressif récurrent, épisode actuel léger sans syndrome somatique, de personnalité dépendante, et de fibromyalgie ; de même a-t-il clairement expliqué pour quelle raison il ne retenait pas d'incapacité de travail relatif à ces diagnostics. Il convient de rappeler, en particulier, qu'aux termes de la jurisprudence susmentionnée un état dépressif récurrent n'est pas incapacitant en soi, la conséquence sur la capacité de travail étant grandement fonction de la sévérité de l'état dépressif. Un état dépressif léger, sujet à médication, n'est pas de nature à empêcher la recourante de travailler durablement. Dès lors, même s'il fallait considérer cet état dépressif récurrent comme un diagnostic autonome, il n'en découlerait pas pour autant une incapacité de travail durable. Quant à la fibromyalgie, il apparaît que les critères nécessités par la jurisprudence pour lui reconnaître caractère invalidant ne sont manifestement pas réalisés en l'espèce, comme l'a montré à satisfaction de droit l'expert psychiatre.</w:t>
      </w:r>
    </w:p>
    <w:p>
      <w:r>
        <w:rPr>
          <w:b/>
        </w:rPr>
        <w:t>E. 9</w:t>
      </w:r>
    </w:p>
    <w:p>
      <w:r>
        <w:t>Par conséquent, le recours sera rejeté. Toutefois, le Tribunal de céans constate que dans sa décision litigieuse l'OCAI a omis de reprendre le droit à la rente limitée dans le temps qu'il avait, à juste titre, reconnu à la recourante dans sa précédente décision. L'expertise sur laquelle s'appuie le présent arrêt confirme, d'ailleurs, ce droit à une demi-rente limitée, puisque la recourante est reconnue totalement incapable de travailler à 100% entre avril et décembre 2000 et à 50% jusqu'en octobre 2002. Par conséquent elle a droit à une demi-rente d'invalidité du mois d'avril 2001 au mois de janvier 2003, soit trois mois après l'amélioration de l'état de santé, en application de l'art. 88a RAI.</w:t>
      </w:r>
    </w:p>
    <w:p>
      <w:r>
        <w:rPr>
          <w:b/>
        </w:rPr>
        <w:t>E. 10</w:t>
      </w:r>
    </w:p>
    <w:p>
      <w:r>
        <w:t>Par ailleurs, 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A/1748/2004 - 15/15 -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