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ATAS/70/2021 vom 4. Februar 2021</w:t>
      </w:r>
    </w:p>
    <w:p>
      <w:r>
        <w:t>GE Cour de justice, 2021-02-04, FR</w:t>
      </w:r>
    </w:p>
    <w:p>
      <w:r>
        <w:rPr>
          <w:b/>
        </w:rPr>
        <w:t xml:space="preserve">Quelle: </w:t>
      </w:r>
      <w:r>
        <w:t>https://mcp.opencaselaw.ch/entscheid/ge_gerichte_ATAS_70_2021</w:t>
      </w:r>
    </w:p>
    <w:p>
      <w:r>
        <w:t>FR: GE_GERICHTE ATAS/70/2021 du 4 février 2021</w:t>
      </w:r>
    </w:p>
    <w:p>
      <w:r>
        <w:t>IT: GE_GERICHTE ATAS/70/2021 del 4 febbraio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présent recours était, au 1er janvier 2021, pendant devant la chambre de céans, il reste soumis à l'ancien droit (cf. art. 83 LPGA). Les dispositions légales seront donc citées ci-après dans leur teneur en vigueur jusqu'au 31 décembre 2020.</w:t>
      </w:r>
    </w:p>
    <w:p>
      <w:r>
        <w:rPr>
          <w:b/>
        </w:rPr>
        <w:t>E. 4</w:t>
      </w:r>
    </w:p>
    <w:p>
      <w:r>
        <w:t>Le 1er janvier 2017 est entrée en vigueur la modification du 25 septembre 2015 de la LAA. Dans la mesure où l'événement litigieux (du 11 septembre 2016)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Le délai de recours est de trente jours (art. 56 LPGA; art. 62 al. 1 de la de loi sur la procédure administrative du 12 septembre 1985 [LPA - E 5 10]). Les délais en jours ou en mois fixés par la loi ou par l’autorité ne courent pas du 7e jour avant Pâques au 7e jour après Pâques inclusivement (art. 38 al. 4 let. a LPGA et art. 89C let. a LPA). L’ordonnance du Conseil fédéral du 20 mars 2020 sur la suspension des délais dans les procédures civiles et administratives pour assurer le maintien de la justice en</w:t>
      </w:r>
    </w:p>
    <w:p>
      <w:r>
        <w:t>A/1324/2020 - 6/12 - lien avec le coronavirus (COVID-19 - RS 173.110.4) a étendu la suspension des délais légaux et de ceux fixés par les autorités ou tribunaux qui ne courent pas pendant les jours qui précèdent et qui suivent Pâques − ayant eu lieu le dimanche 12 avril 2020 −, et l'a fixée à la période comprise entre les 21 mars et 19 avril 2020 inclus. En l’espèce, la décision litigieuse a été notifiée à la recourante le 9 mars 2020, laquelle a posté son recours le 8 mai 2020, soit le dernier jour du délai de recours de trente jours. Partant, le recours a été interjeté en temps utile. Aussi le recours, qui respecte par ailleurs la forme prévue par loi (art. 61 let. b LPGA), est-il recevable.</w:t>
      </w:r>
    </w:p>
    <w:p>
      <w:r>
        <w:rPr>
          <w:b/>
        </w:rPr>
        <w:t>E. 6</w:t>
      </w:r>
    </w:p>
    <w:p>
      <w:r>
        <w:t>Le litige porte sur la question de savoir si l'événement du 11 septembre 2016 peut être qualifié d'accident ou être assimilé à un accident.</w:t>
      </w:r>
    </w:p>
    <w:p>
      <w:r>
        <w:rPr>
          <w:b/>
        </w:rPr>
        <w:t>E. 7</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w:t>
      </w:r>
    </w:p>
    <w:p>
      <w:r>
        <w:t>A/1324/2020 - 7/12 -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8</w:t>
      </w:r>
    </w:p>
    <w:p>
      <w:r>
        <w:t>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ATF 143 V 168 consid. 5.2.2 et arrêt du Tribunal fédéral 8C_662/2016 déjà cité consid. 4.3).</w:t>
      </w:r>
    </w:p>
    <w:p>
      <w:r>
        <w:rPr>
          <w:b/>
        </w:rPr>
        <w:t>E. 9</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rPr>
          <w:b/>
        </w:rPr>
        <w:t>E. 10</w:t>
      </w:r>
    </w:p>
    <w:p>
      <w:r>
        <w:t>En l’espèce, la recourante, en sa qualité d’aide-soignante qualifiée dans un EMS, était habituée à soulever des résidents, ainsi qu’elle l’a affirmé lors de l’entretien du 25 novembre 2019. Aussi son âge (58 ans au moment de l’événement litigieux le</w:t>
      </w:r>
    </w:p>
    <w:p>
      <w:r>
        <w:rPr>
          <w:b/>
        </w:rPr>
        <w:t>E. 11</w:t>
      </w:r>
    </w:p>
    <w:p>
      <w:r>
        <w:t>Reste à déterminer si la recourante a subi une lésion assimilée à un accident, de nature à faire naître un droit aux prestations de l’intimée.</w:t>
      </w:r>
    </w:p>
    <w:p>
      <w:r>
        <w:rPr>
          <w:b/>
        </w:rPr>
        <w:t>E. 12</w:t>
      </w:r>
    </w:p>
    <w:p>
      <w:r>
        <w:t>a. L’art. 6 al. 2 LAA a conféré au Conseil fédéral la compétence d’étendre la prise en charge par l’assurance-accidents à des lésions assimilables à un accident. Aux termes de l'art. 9 al. 2 de l'ordonnance sur l'assurance-accidents (OLAA - RS 832.202) en vigueur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La jurisprudence considère que les dispositions d'exception, comme l'art. 9 al. 2 OLAA en vigueur jusqu’au 31 décembre 2016 qui contient une liste exhaustive, ne doivent être interprétées ni restrictivement ni extensivement, mais conformément à leur sens et à leur but, dans les limites de la règle générale. Aussi, n'est-il pas admissible</w:t>
      </w:r>
    </w:p>
    <w:p>
      <w:r>
        <w:t>A/1324/2020 - 9/12 - d'étendre la liste des lésions corporelles assimilées à un accident en raisonnant par analogie (ATF 114 V 298 consid. 3e; arrêt du Tribunal fédéral 8C_118/2011 du 9 novembre 2011 consid. 4.3.3). La notion de lésion assimilée à un accident, au sens de l'art. 9 al. 2 OLAA en vigueur jusqu’au 31 décembre 2016,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129 V 466 consid. 2.2 ; arrêt du Tribunal fédéral 8C_662/2016 du 23 mai 2017 consid. 4.2). Les lésions mentionnées à l'art. 9 al. 2 OLAA en vigueur jusqu’au 31 décembre 2016 sont assimilées à un accident même si elles ont, pour l'essentiel, une origine vraisemblablement maladive ou dégénérative, pour autant qu'une cause extérieure ait, au moins, déclenché les symptômes dont souffre l'assuré (ATF 139 V 327 consid. 3.1 ; ATF 123 V 43 consid. 2b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en vigueur jusqu’au 31 décembre 2016, les troubles constatés ne sont pas à la charge de l'assurance-accidents (ATF 129 V 466 consid. 4.2 ; arrêt du Tribunal fédéral 8C_662/2016 précité consid.4.2).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en vigueur jusqu’au 31 décembre 2016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 arrêt du Tribunal fédéral 8C_662/2016 précité consid. 4.2). Ainsi, celui qui ressent une vive douleur, symptôme d'une des</w:t>
      </w:r>
    </w:p>
    <w:p>
      <w:r>
        <w:t>A/1324/2020 - 10/12 - lésions énumérées à l’art. 9 al. 2 OLAA en vigueur jusqu’au 31 décembre 2016,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 arrêt du Tribunal fédéral des assurances U 315/03 du 23 novembre 2004 consid. 2.2). En outre, la cause extérieure peut être discrète et courante (ATF 116 V 145 consid. 2c ; arrêt du Tribunal fédéral des assurances U 362/06 du 4 juillet 2007 consid. 3). c. L'existence d'une cause extérieure permettant d'assimiler une lésion au sens de l’art. 9 al. 2 OLAA en vigueur jusqu’au 31 décembre 2016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w:t>
      </w:r>
    </w:p>
    <w:p>
      <w:r>
        <w:t>A/1324/2020 - 11/12 -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w:t>
      </w:r>
    </w:p>
    <w:p>
      <w:r>
        <w:rPr>
          <w:b/>
        </w:rPr>
        <w:t>E. 13</w:t>
      </w:r>
    </w:p>
    <w:p>
      <w:r>
        <w:t>En l’espèce, contrairement à ce que paraît croire la recourante, il ne suffit pas que l’atteinte à sa main droite (soit la rupture du ligament scapho-lunaire) corresponde à la lésion de ligament mentionnée à l’art. 9 al. 2 let. g OLAA pour que l’intimée soit tenue de prester. Encore faut-il que la lésion en cause résulte d’un facteur extérieur (ATF 129 V 466 consid. 2.2). Or, tel n’est pas le cas pour les motifs déjà exposés au consid. 9 ci-dessus. En effet, le déroulement de l'événement litigieux ne permet pas de conclure à l'existence d'une cause extérieure, générant un risque de lésion accru, en l'absence d'élément particulier tel une chute, un coup ou un mouvement brusque. En outre, lors du soulèvement de la résidente, la recourante n’a pas effectué un mouvement soudain ou violent non maîtrisé, ni un changement de position du corps brusque ou incontrôlé − apte à provoquer une lésion corporelle selon les constatations de la médecine des accidents. Partant, c’est à juste titre que l’intimée a nié le droit de la recourante à des prestations en raison de ses problèmes au poignet droit, faute pour ceux-ci de se rapporter à une lésion corporelle assimilable à un accident.</w:t>
      </w:r>
    </w:p>
    <w:p>
      <w:r>
        <w:rPr>
          <w:b/>
        </w:rPr>
        <w:t>E. 14</w:t>
      </w:r>
    </w:p>
    <w:p>
      <w:r>
        <w:t>Par conséquent, bien que l’intimée ait initialement pris en charge le cas de la recourante, elle pouvait mettre un terme à ses prestations avec effet ex nunc et pro futuro en renonçant à lui en réclamer le remboursement, au motif qu'un événement assuré - selon une appréciation correcte de la situation - n'était jamais survenu (ATF 130 V 380 consid. 2).</w:t>
      </w:r>
    </w:p>
    <w:p>
      <w:r>
        <w:rPr>
          <w:b/>
        </w:rPr>
        <w:t>E. 15</w:t>
      </w:r>
    </w:p>
    <w:p>
      <w:r>
        <w:t>Au vu de ce qui précède, le recours est rejeté. La recourante, qui succombe, n'a pas droit à des dépens (art. 61 let. g LPGA a contrario). Pour le surplus, la procédure est gratuite (art. 61 let. a LPGA).</w:t>
      </w:r>
    </w:p>
    <w:p>
      <w:r>
        <w:t>A/1324/2020 - 12/12 -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