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ATAS/709/2025 vom 23. September 2025</w:t>
      </w:r>
    </w:p>
    <w:p>
      <w:r>
        <w:t>GE Cour de justice, 2025-09-23, FR</w:t>
      </w:r>
    </w:p>
    <w:p>
      <w:r>
        <w:rPr>
          <w:b/>
        </w:rPr>
        <w:t xml:space="preserve">Quelle: </w:t>
      </w:r>
      <w:r>
        <w:t>https://mcp.opencaselaw.ch/entscheid/ge_gerichte_ATAS_709_2025</w:t>
      </w:r>
    </w:p>
    <w:p>
      <w:r>
        <w:t>FR: GE_GERICHTE ATAS/709/2025 du 23 septembre 2025</w:t>
      </w:r>
    </w:p>
    <w:p>
      <w:r>
        <w:t>IT: GE_GERICHTE ATAS/709/2025 del 23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 2.</w:t>
      </w:r>
    </w:p>
    <w:p>
      <w:r>
        <w:t>2.1 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t>A/1577/2025 - 5/9 - En l'occurrence, au vu des décisions rendues le 3 juin 2025 par l'intimé, le recours pour déni de justice est devenu sans objet, de sorte qu'il convient de rayer la cause du rôle. Le litige porte ainsi uniquement sur le droit de la recourante, dûment représentée, à des dépens pour la procédure qu'elle a initiée, en déterminant si l'intimé a fait preuve d'un retard injustifié. 2.2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2.3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w:t>
      </w:r>
    </w:p>
    <w:p>
      <w:r>
        <w:t>A/1577/2025 - 6/9 - ait agi avec retard (ATF 124 V 130 consid. 4 ; 117 Ia 116 consid. 3a ; 117 Ia 193 consid. 1c ; arrêts du Tribunal fédéral I 819/02 du 23 avril 2003 consid. 2.1 ;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inactivité de treize ou quatorze mois au stade de l'instruction ou encore un délai de dix ou onze mois pour que le dossier soit transmis à l'autorité de recours (arrêt du Tribunal fédéral 8C_162/2022 du 9 août 2022 consid. 5.1 et les références). 2.4 En matière de prestations complémentaires fédérales, l'art. 21 al. 1 de l'ordonnance sur les prestations complémentaires à l'assurance-vieillesse, survivants et invalidité du 15 janvier 1971 (OPC-AVS/AI - RS 831.301) énonce qu'en règle générale, la décision concernant l'octroi d'une prestation et son montant doit être rendue dans un délai de 90 jours à compter de la réception de la demande de prestation complémentaire annuelle. Au niveau cantonal, l'art. 38 al. 2 1ère phrase LPCC prescrit que les décisions du service sont rendues dans un délai d'un mois au maximum à partir du dépôt de la requête, dûment remplie et documentée. 3.</w:t>
      </w:r>
    </w:p>
    <w:p>
      <w:r>
        <w:t>3.1 En l'espèce, la recourante soutient que l'intimé a commis un déni de justice dans la mesure où il n'a pas statué sur sa demande de prestations dans les 90 jours, comme le prescrit l'art. 21 al. 1 OPC-AVS/AI. Il ne lui avait pas non plus précisé, dans sa communication du 17 octobre 2024, quelles pièces il réclamait pour statuer et n'avait ensuite donné aucune nouvelle avant le 3 juin 2025, malgré les relances visant à ce que le dossier soit repris. Quant à l'intimé, il se défend d'avoir commis un déni de justice, les décisions du 3 juin 2025 étant intervenues moins de huit mois après la décision de refus pour défaut de renseigner et, dans l'intervalle, des informations complémentaires lui étant parvenues à la suite des changements de situation de la recourante (retour à domicile, attente de placement dans une situation au demeurant peu claire, puis entrée en établissement médico-social). Le dossier revêtait ainsi une complexité particulière expliquant le temps pris pour rendre la décision et l'impossibilité de statuer dans le délai comminatoire de 10 jours imparti, déraisonnablement court.</w:t>
      </w:r>
    </w:p>
    <w:p>
      <w:r>
        <w:t>A/1577/2025 - 7/9 - 3.2 À la lecture du dossier, l'on constate qu'après avoir été saisi de la demande de prestations l'intimé a instruit la cause en sollicitant des renseignements et pièces complémentaires, notamment au sujet des comptes détenus par la recourante en France auprès de la Caisse d'épargne, le justificatif initialement transmis à ce sujet étant arrêté au 31 décembre 2022. Le 30 avril 2024, pour la première fois, la recourante a remis une attestation de ses comptes auprès de cet établissement bancaire, actualisée au 31 décembre 2023. À l'instar du précédent extrait bancaire, l'existence d'un livret B et d'un compte de dépôt étaient attestée ; le plan d'épargne logement n'y figurait à l'inverse plus, mais un livret A était mentionné. La recourante a par la suite de nouveau communiqué à deux occasions le même extrait bancaire arrêté au 31 décembre 2023, sur relances de l'intimé qui lui demandait le relevé du compte « PEL », ou une attestation de clôture de ce compte. Après la décision de suspension de la procédure du 17 octobre 2024, elle a par ailleurs remis une attestation de clôture des comptes livret A et B et du compte de dépôt. Quant à l'intimé, il n'a pas réagi à la demande de la recourante du 30 octobre 2024 visant à ce que la décision du 17 octobre 2024 soit revue, ni à celle de l'IMAD du 24 janvier 2025 sollicitant la reprise du dossier. Il n'a pas non plus entrepris d'autres démarches après avoir réceptionné de nouveaux justificatifs en mars 2025, ni n'a répondu à la lettre de la mandataire de la recourante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8</w:t>
      </w:r>
    </w:p>
    <w:p>
      <w:r>
        <w:t>avril 2025. Ce n'est qu'après que la recourante eut saisi la chambre de céans, le 7 mai 2025, et un jour avant de déposer son mémoire de réponse que l'intimé a rendu les décisions sollicitées. La chambre de céans observe à cet égard que l'intimé a finalement statué sans obtenir de plus amples informations concernant les relations bancaires de la recourante auprès de la Caisse d'épargne, en particulier concernant le plan d'épargne logement, partant selon toute vraisemblance du principe que ce compte avait été modifié en un livret A, compte tenu de ce que le montant global des avoirs détenus en 2022 et 2023 auprès de cet établissement était relativement similaire. Dans ces circonstances, bien que les demandes initiales de l'intimé d'obtenir des précisions au sujet du « PEL » puissent apparaître justifiées, il sied de constater que l'intimé disposait, depuis le 30 avril 2024, de toutes les informations afférentes aux avoirs bancaires sis en France qu'il a finalement jugé pertinentes, puisqu'à cette date la recourante lui avait remis pour la première fois un relevé de compte au 31 décembre 2023. Au demeurant, contrairement à ce qu'il indique, la cause ne revêtait pas une complexité particulière au vu de la situation de santé de la recourante et de plusieurs hospitalisations suivies de retours à domicile en attente de placement et d'une entrée en maison de retraite. L'intimé n'a, d'une part, sollicité aucune précision complémentaire quant aux divers séjours de la recourante. D'autre part, une telle situation n'apparaît pas inusuelle pour une personne âgée, ni ne constitue un motif de complexité particulière dans le calcul des prestations complémentaires, celui-ci devant uniquement distinguer les</w:t>
      </w:r>
    </w:p>
    <w:p>
      <w:r>
        <w:t>A/1577/2025 - 8/9 - périodes en cause – comme l'a d'ailleurs justement fait l'intimé dans ses décisions du 3 juin 2025. Il découle de ce qui précède que l'intimé était en mesure de statuer sur la demande de prestations bien avant le 3 juin 2025 et, à tout le moins, dans le délai comminatoire de dix jours imparti par la recourante dans son pli du 8 avril 2025. Ne l'ayant pas fait, alors qu'une prise de décision rapide est souhaitée en matière de prestations complémentaires – ce que concrétisent les art. 21 al. 1 OPC- AVS/AI et 38 al. 2 1ère phrase LPCC –, il a commis un déni de justice. Dans son principe, la demande d'octroi de dépens de la recourante apparaît par conséquent justifiée. 3.3 Aux termes de l'art. 61 let. g LPGA, le recourant qui obtient gain de cause a droit au remboursement de ses frais et dépens dans la mesure fixée par le tribunal ; leur montant est déterminé sans égard à la valeur litigieuse d'après l'importance et la complexité du litige.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La recourante a produit une note d'honoraires pour l'activité déployée par son conseil entre le 1er avril et le 26 juin 2025, se montant à CHF 4'710.39, toutes taxes comprises. Compte tenu de la nature du litige limité au déni de justice et du nombre d'activités afférentes à la procédure, les dépens seront en l'occurrence fixés à CHF 1'500.-.</w:t>
      </w:r>
    </w:p>
    <w:p>
      <w:r>
        <w:t>A/1577/2025 - 9/9 -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