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ATAS/709/2019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https://mcp.opencaselaw.ch/entscheid/ge_gerichte_ATAS_709_2019</w:t>
      </w:r>
    </w:p>
    <w:p>
      <w:r>
        <w:t>FR: GE_GERICHTE ATAS/709/2019 du 16 avril 2018</w:t>
      </w:r>
    </w:p>
    <w:p>
      <w:r>
        <w:t>IT: GE_GERICHTE ATAS/709/2019 del 16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 de la cause.</w:t>
      </w:r>
    </w:p>
    <w:p>
      <w:r>
        <w:rPr>
          <w:b/>
        </w:rPr>
        <w:t>E. 2</w:t>
      </w:r>
    </w:p>
    <w:p>
      <w:r>
        <w:t>Déclare la demande sans objet et radie l’affaire du rôle.</w:t>
      </w:r>
    </w:p>
    <w:p>
      <w:r>
        <w:rPr>
          <w:b/>
        </w:rPr>
        <w:t>E. 3</w:t>
      </w:r>
    </w:p>
    <w:p>
      <w:r>
        <w:t>Met les frais du Tribunal de CHF 200.- et un émolument de CHF 100.- à la charge de la défenderesse.</w:t>
      </w:r>
    </w:p>
    <w:p>
      <w:r>
        <w:t>La greffière</w:t>
      </w:r>
    </w:p>
    <w:p>
      <w:r>
        <w:t>Irène PONCET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