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ATAS/709/2011 vom 13. Juli 2011</w:t>
      </w:r>
    </w:p>
    <w:p>
      <w:r>
        <w:t>GE Cour de justice, 2011-07-13, FR</w:t>
      </w:r>
    </w:p>
    <w:p>
      <w:r>
        <w:rPr>
          <w:b/>
        </w:rPr>
        <w:t xml:space="preserve">Quelle: </w:t>
      </w:r>
      <w:r>
        <w:t>https://mcp.opencaselaw.ch/entscheid/ge_gerichte_ATAS_709_2011</w:t>
      </w:r>
    </w:p>
    <w:p>
      <w:r>
        <w:t>FR: GE_GERICHTE ATAS/709/2011 du 13 juillet 2011</w:t>
      </w:r>
    </w:p>
    <w:p>
      <w:r>
        <w:t>IT: GE_GERICHTE ATAS/709/2011 del 13 luglio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statuait aussi, en application de l'art. 56V al. 2 let. a aLOJ, sur les contestations prévues à l'art. 43 de la loi cantonale sur les prestations cantonales complémentaires à l'assurance-vieillesse et survivants et à l'assurance-invalidité du 25 octobre 1968 (LPCC; RS J 7 15).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Les dispositions de la LPGA, en vigueur depuis le 1er janvier 2003, s’appliquent aux prestations complémentaires fédérales à moins que la LPC n’y déroge expressément (art. 1er al. 1er LPC). Il en va de même en matière de prestations complémentaires cantonales (cf. art. 1A let. b LPCC).</w:t>
      </w:r>
    </w:p>
    <w:p>
      <w:r>
        <w:rPr>
          <w:b/>
        </w:rPr>
        <w:t>E. 3</w:t>
      </w:r>
    </w:p>
    <w:p>
      <w:r>
        <w:t>Interjeté dans la forme et le délai prévus par la loi, le recours est recevable (art. 56 et 60 LPGA ; cf. également art. 9 de la loi cantonale du 14 octobre 1965 sur les prestations fédérales complémentaires à l’assurance-vieillesse et survivants et à l’assurance-invalidité [LPCF], art. 43 LPCC).</w:t>
      </w:r>
    </w:p>
    <w:p>
      <w:r>
        <w:t>A/2854/2010 - 5/8 -</w:t>
      </w:r>
    </w:p>
    <w:p>
      <w:r>
        <w:rPr>
          <w:b/>
        </w:rPr>
        <w:t>E. 4</w:t>
      </w:r>
    </w:p>
    <w:p>
      <w:r>
        <w:t>Le litige porte uniquement sur la question de savoir si c’est à bon droit que l’intimé a déclaré irrecevable l’opposition formée le 19 juillet 2010 par la recourante contre sa décision du 26 mai 2008.</w:t>
      </w:r>
    </w:p>
    <w:p>
      <w:r>
        <w:rPr>
          <w:b/>
        </w:rPr>
        <w:t>E. 5</w:t>
      </w:r>
    </w:p>
    <w:p>
      <w:r>
        <w:t>Conformément à l’art. 52 al. 1 LPGA, les décisions peuvent être attaquées dans les trente jours par voie d’opposition auprès de l’assureur qui les a rendues.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p. 10; 124 V 400 consid. 2a p. 402 et les références).</w:t>
      </w:r>
    </w:p>
    <w:p>
      <w:r>
        <w:t>La notification irrégulière d'une décision ne doit entraîner aucun préjudice pour les parties (art. 38 PA et 49 LTF; art. 49 al.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p. 99, 111 V 149 consid. 4c p. 150 et les références; RAMA 1997 no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Droit administratif, 2ème éd., Berne 2002, volume II, p. 318). Aussi, la personne à qui l'acte n'a pas été notifié doit s'en prévaloir en temps utile, dès lors que, d'une manière ou d'une autre, elle est au courant de la situation; attendre passivement serait contraire au principe de la bonne foi (voir MOOR, op. cit., p. 319).</w:t>
      </w:r>
    </w:p>
    <w:p>
      <w:r>
        <w:rPr>
          <w:b/>
        </w:rPr>
        <w:t>E. 6</w:t>
      </w:r>
    </w:p>
    <w:p>
      <w:r>
        <w:t>En matière de procédure, l'art. 38 al. 2bis LPGA prévoit qu’une communication qui n'est remise que contre la signature du destinataire ou d'un tiers habilité est réputée reçue au plus tard sept jours après la première tentative infructueuse de distribution</w:t>
      </w:r>
    </w:p>
    <w:p>
      <w:r>
        <w:t>A/2854/2010 - 6/8 - (cf. ég. ATF 130 III 396). La notification est censée avoir eu lieu le septième jour du délai de garde, quand bien même il ne s'agirait pas d'un jour ouvrable (ATF 127 I 31 consid. 2b p. 34 s.; Kathrin AMSTUTZ/Peter ARNOLD, Basler Kommentar, n. 34 ad art. 44). Le jour de l'échec de la notification est pris en compte dans le calcul du délai de garde (Yves DONZALLAZ, Loi sur le Tribunal fédéral, commentaire, n. 1113 ad art. 44). L’art. 62 al. 4 de la loi cantonale sur la procédure administrative (LPA ; E 5.10), applicable à la procédure devant la Cour de céans conformément à l’art. 89A LPA, prévoit une réglementation identique. Ce délai de sept jours est par ailleurs rappelé dans les Conditions générales « Prestations du service postal » édictées par la Poste en application de l'art. 11 al. 1 de la loi fédérale sur la poste (RS 783.0), dans leur teneur en avril 2009. Il s'agit d'une fiction légale qui n'est pas influencée par le délai de retrait fixé par la poste: que ce délai soit plus long ou ait été prolongé ne modifie pas l'échéance légale des sept jours (Yves DONZALLAZ, op. cit., n. 1089 ad art. 44 et la référence sous note n° 2553). Enfin,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130 III 396 consid. 1.2.3 p. 399 et les références ; 119 V 89 consid. 4b/aa p. 94; cf. aussi ATF 123 III 492).</w:t>
      </w:r>
    </w:p>
    <w:p>
      <w:r>
        <w:rPr>
          <w:b/>
        </w:rPr>
        <w:t>E. 7</w:t>
      </w:r>
    </w:p>
    <w:p>
      <w:r>
        <w:t>En l’espèce, la décision du 26 mai 2008, notifiée par pli recommandé du 27 mai 2008, a été retournée par l’office postal à l’intimé avec la mention « non réclamé ». Copie de la décision a été adressée à la recourante par courrier prioritaire daté du 25 juin 2008. Le délai de garde de sept jours est parvenu à échéance le 4 juin 2008 et le pli a été retourné à l’intimé le 13 juin 2008. Force est de constater que l’opposition datée du 19 juillet 2010, postée le 20 du même mois, est incontestablement tardive. La recourante objecte qu’elle a pris connaissance de la décision de l’intimé que le 7 juillet 2010, à réception du rappel de l’intimé du 28 juin 2010, et qu’elle n’a jamais reçu les courriers antérieurs. La Cour de céans constate que selon l’extrait de l’Office cantonal de la population la recourante était domiciliée rue P_________, du 1er novembre 2006 au 1er avril 2010. La recourante n’a pas établi avoir déménagé entre-temps. Par conséquent, l’intimé a notifié sa décision au domicile légal de la recourante, seule héritière légale du défunt. La notification était ainsi parfaitement correcte. Pour le surplus,</w:t>
      </w:r>
    </w:p>
    <w:p>
      <w:r>
        <w:t>A/2854/2010 - 7/8 - les arguments avancés par la recourante ne permettent pas de penser qu’elle n’aurait jamais reçu un quelconque courrier de l’intimé. Selon le dossier, l’intimé a envoyé à la recourante, durant les années 2007 et 2008, plusieurs courriers, demeurés sans suite. Finalement, la recourante a reconnu qu’elle traversait une période difficile et qu’elle ne relevait même plus sa boîte aux lettres - sur laquelle le nom de famille L_________ figurait -, par crainte de tout ce qui était officiel. Cela étant, la Cour de céans constate que l’intimé a valablement prouvé la notification de la décision au domicile légal de la recourante. Partant, cette dernière doit se voir opposer la fiction de la notification à l’échéance du délai de garde de sept jours, soit le 4 juin 2008. C’est par conséquent à bon droit que l’intimé a déclaré irrecevable l’opposition formée en date du 20 juillet 2010.</w:t>
      </w:r>
    </w:p>
    <w:p>
      <w:r>
        <w:rPr>
          <w:b/>
        </w:rPr>
        <w:t>E. 8</w:t>
      </w:r>
    </w:p>
    <w:p>
      <w:r>
        <w:t>Mal fondé, le recours est rejeté.</w:t>
      </w:r>
    </w:p>
    <w:p>
      <w:r>
        <w:t>A/2854/2010 - 8/8 -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