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ATAS/709/2008 vom 19. Juli 2007</w:t>
      </w:r>
    </w:p>
    <w:p>
      <w:r>
        <w:t>GE Cour de justice, 2007-07-19, FR</w:t>
      </w:r>
    </w:p>
    <w:p>
      <w:r>
        <w:rPr>
          <w:b/>
        </w:rPr>
        <w:t xml:space="preserve">Quelle: </w:t>
      </w:r>
      <w:r>
        <w:t>https://mcp.opencaselaw.ch/entscheid/ge_gerichte_ATAS_709_2008</w:t>
      </w:r>
    </w:p>
    <w:p>
      <w:r>
        <w:t>FR: GE_GERICHTE ATAS/709/2008 du 19 juillet 2007</w:t>
      </w:r>
    </w:p>
    <w:p>
      <w:r>
        <w:t>IT: GE_GERICHTE ATAS/709/2008 del 19 luglio 2007</w:t>
      </w:r>
    </w:p>
    <w:p>
      <w:pPr>
        <w:pStyle w:val="Heading2"/>
      </w:pPr>
      <w:r>
        <w:t>Regeste</w:t>
      </w:r>
    </w:p>
    <w:p>
      <w:r>
        <w:t>Résumé: Le Tribunal cantonal des assurances sociales de Genève n'est pas compétent ratione loci car le recourant a son domicile dans un autre canton. En effet, le Tribunal des assurances compétent est celui du canton de domicile de l'assuré ou d'une autre partie au moment du dépôt du recours. Or, selon l'art. 34 LPGA, la qualité de partie doit être reconnue à l'assuré et non à l'assureur intimé (cf. ATAS 977/2004).</w:t>
      </w:r>
    </w:p>
    <w:p>
      <w:pPr>
        <w:pStyle w:val="Heading2"/>
      </w:pPr>
      <w:r>
        <w:t>Erwägungen</w:t>
      </w:r>
    </w:p>
    <w:p>
      <w:r>
        <w:rPr>
          <w:b/>
        </w:rPr>
        <w:t>E. 1</w:t>
      </w:r>
    </w:p>
    <w:p>
      <w:r>
        <w:t>Se déclare incompétent à raison du lieu.</w:t>
      </w:r>
    </w:p>
    <w:p>
      <w:r>
        <w:rPr>
          <w:b/>
        </w:rPr>
        <w:t>E. 2</w:t>
      </w:r>
    </w:p>
    <w:p>
      <w:r>
        <w:t>Transmet le recours au Tribunal des assurances du canton de ZOUG.</w:t>
      </w:r>
    </w:p>
    <w:p>
      <w:r>
        <w:rPr>
          <w:b/>
        </w:rPr>
        <w:t>E. 3</w:t>
      </w:r>
    </w:p>
    <w:p>
      <w:r>
        <w:t>Dit qu’il n’est pas perçu d’émolument, ni alloué d’indemnité.</w:t>
      </w:r>
    </w:p>
    <w:p>
      <w:r>
        <w:rPr>
          <w:b/>
        </w:rPr>
        <w:t>E. 4</w:t>
      </w:r>
    </w:p>
    <w:p>
      <w:r>
        <w:t>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Le mémoire de recours mentionnera encore les moyens de preuve, qui seront joints, ainsi que la décision attaquée et l’enveloppe dans laquelle elle a été expédiée au recourant (art. 132, 106 et 108 OJ).</w:t>
      </w:r>
    </w:p>
    <w:p>
      <w:r>
        <w:t>La greffière :</w:t>
      </w:r>
    </w:p>
    <w:p>
      <w:r>
        <w:t>Yaël BENZ</w:t>
      </w:r>
    </w:p>
    <w:p>
      <w:r>
        <w:t>La Présidente :</w:t>
      </w:r>
    </w:p>
    <w:p>
      <w:r>
        <w:t>Isabelle DUBOIS</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