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ATAS/709/2007 vom 20. Juni 2007</w:t>
      </w:r>
    </w:p>
    <w:p>
      <w:r>
        <w:t>GE Cour de justice, 2007-06-20, FR</w:t>
      </w:r>
    </w:p>
    <w:p>
      <w:r>
        <w:rPr>
          <w:b/>
        </w:rPr>
        <w:t xml:space="preserve">Quelle: </w:t>
      </w:r>
      <w:r>
        <w:t>https://mcp.opencaselaw.ch/entscheid/ge_gerichte_ATAS_709_2007</w:t>
      </w:r>
    </w:p>
    <w:p>
      <w:r>
        <w:t>FR: GE_GERICHTE ATAS/709/2007 du 20 juin 2007</w:t>
      </w:r>
    </w:p>
    <w:p>
      <w:r>
        <w:t>IT: GE_GERICHTE ATAS/709/2007 del 20 giugno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w:t>
      </w:r>
    </w:p>
    <w:p>
      <w:r>
        <w:t>A/23/2007 - 8/15 -</w:t>
      </w:r>
    </w:p>
    <w:p>
      <w:r>
        <w:rPr>
          <w:b/>
        </w:rPr>
        <w:t>E. 2</w:t>
      </w:r>
    </w:p>
    <w:p>
      <w:r>
        <w:t>Selon l'art. 60 al. 1 LPGA, le délai de recours est de 30 jours. Le recours du</w:t>
      </w:r>
    </w:p>
    <w:p>
      <w:r>
        <w:rPr>
          <w:b/>
        </w:rPr>
        <w:t>E. 4</w:t>
      </w:r>
    </w:p>
    <w:p>
      <w:r>
        <w:t>Le litige porte sur le degré d'invalidité du recourant et, par conséquent, sur le droit à une rente d'invalidité.</w:t>
      </w:r>
    </w:p>
    <w:p>
      <w:r>
        <w:t>A/23/2007 - 9/15 -</w:t>
      </w:r>
    </w:p>
    <w:p>
      <w:r>
        <w:rPr>
          <w:b/>
        </w:rPr>
        <w:t>E. 5</w:t>
      </w:r>
    </w:p>
    <w:p>
      <w:r>
        <w:t>a) On rappellera qu'est réputée invalidité, l'incapacité de gain totale ou partielle présumée permanente ou de longue durée, résultant d'une infirmité congénitale, d'une maladie ou d'un accident (art. 7, 8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b) Tout comme les atteintes physiques, les atteintes à la santé psychique peuvent entraîner une invalidité au sens de l'art. 4 al. 1 LAI en liaison avec l'art. 8 LPGA. A ce titre, on ne considère toutefois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c)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d)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w:t>
      </w:r>
    </w:p>
    <w:p>
      <w:r>
        <w:rPr>
          <w:b/>
        </w:rPr>
        <w:t>E. 6</w:t>
      </w:r>
    </w:p>
    <w:p>
      <w:r>
        <w:t>En l'espèce, le jugement du Tribunal administratif de la République et canton de Genève du 3 févier 2004 comportant une appréciation de l'invalidité du recourant dans le cadre de la LAA est entré en force. L'OCAI ne saurait ainsi faire totalement abstraction de l'évaluation de l'invalidité effectuée dans ce cadre à moins que de nouvelles atteintes soient mises en évidence ou apparues depuis.</w:t>
      </w:r>
    </w:p>
    <w:p>
      <w:r>
        <w:t>A/23/2007 - 10/15 -</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Depuis le 1er janvier 2004 (4e révision AI), l’assuré a droit à un quart de rente s’il est invalide à 40% au moins, à une demi-rente s'il est invalide à 50% au moins, à trois-quarts de rente s'il est invalide à 60% au moins et à une rente entière s'est est invalide à 70% au moins. Le droit à la rente prend naissance au plus tôt à la date à partir de laquelle l'assuré présente une incapacité de gain durable de 40 % au moins (art. 29 al. 1 let. a LAI) ou à partir de laquelle il a présenté, en moyenne, une incapacité de travail de 40 % au moins pendant une année sans interruption notable (art. 29 al. 1 let. b LAI).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c)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 Pour pouvoir calculer le degré d'invalidité, l'administration (ou le juge, s'il y a eu un recours) a besoin de documents que le médecin, éventuellement aussi d'autres</w:t>
      </w:r>
    </w:p>
    <w:p>
      <w:r>
        <w:t>A/23/2007 - 11/15 -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Pour pouvoir calculer le degré d'invalidité, l'administration (ou le juge, s'il y a eu un recours) a besoin de documents qu'un médecin, éventuellement d'autres spécialistes, doivent lui fournir.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w:t>
      </w:r>
    </w:p>
    <w:p>
      <w:r>
        <w:rPr>
          <w:b/>
        </w:rPr>
        <w:t>E. 8</w:t>
      </w:r>
    </w:p>
    <w:p>
      <w:r>
        <w:t>a)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S'agissant de la valeur probante du rapport psychiatrique de la Dresse E__________, il convient de relever que l’instruction d’une autre cause en matière d’invalidité devant le Tribunal de céans a révélé que celle-ci n’était pas titulaire d’un diplôme FMH de spécialiste en psychiatrie et qu’elle avait par ailleurs été autorisée à pratiquer comme médecin dépendant auprès du SMR par acte du Département vaudois de la santé et de l’action sociale du 24 novembre 2006. Selon le médecin cantonal vaudois, l'intéressée était, en sa qualité de médecin dépendant, désormais habilitée à effectuer des expertises psychiatriques avec examens cliniques ; toutefois, à son avis, le document devait être contresigné par le psychiatre responsable pour lui donner sa pleine valeur juridique.</w:t>
      </w:r>
    </w:p>
    <w:p>
      <w:r>
        <w:t>A/23/2007 - 12/15 - d) Il sied d’observer que, selon les informations reçues du médecin cantonal vaudois, la Dresse E__________ n'était pas habilitée à signer le rapport du SMR du 8 août 2006 avec le titre de "psychiatre FMH" et qu’elle n’était alors pas, à cette date, formellement autorisée à travailler comme médecin dépendant auprès du SMR. Il convient dès lors d’analyser ici la portée juridique de ces irrégularités qui ne préjugent en rien des compétences professionnelles de cette praticienne lesquelles ne sont pas mises en cause. Au préalable, force est de constater que la valeur juridique du rapport en cause ne saurait être déniée pour le seul motif que sa rédactrice a utilisé à tort le titre de "psychiatre FMH". La même constatation s'impose s'agissant du défaut d'autorisation, lequel a été corrigé par la délivrance d'une autorisation de pratiquer à titre dépendant à partir du 24 novembre 2006. Il ne serait en effet pas cohérent de dénier la valeur probante d'un rapport rendu par un même médecin avant l'obtention de l'autorisation en cause alors que ce même rapport devrait être admis s'il avait été rendu après l'octroi de ladite autorisation. Il convient de préciser que cette autorisation ne dépendait d'aucun examen complémentaire dans la mesure où elle portait uniquement sur la reconnaissance de son diplôme étranger. En conclusion, la valeur probante dudit rapport ne saurait être déniée en raison des seules irrégularités susmentionnées mais doit bien plutôt être examinée sous l'angle des conditions jurisprudentielles en la matière rappelées ci- dessus.</w:t>
      </w:r>
    </w:p>
    <w:p>
      <w:r>
        <w:rPr>
          <w:b/>
        </w:rPr>
        <w:t>E. 9</w:t>
      </w:r>
    </w:p>
    <w:p>
      <w:r>
        <w:t>Le recourant se prévaut de l'avis de son psychiatre traitant, selon lequel il ne conserverait plus qu'une capacité de travail de 50% dans une activité légère. En l'espèce, il y a lieu de distinguer les atteintes physiques des atteintes psychiques. Au plan physique, les diagnostics retenus par les différents médecins consultés sont convergents: ils retiennent principalement les suites somatiques de l'accident de 1995, soit TCC, lésion du nerf cubital gauche, fractures métatarses du pied gauche. En outre, les limitations fonctionnelles retenues depuis 1999 ne sont pas davantage critiquées. De même convient-il de relever que, sur le plan physique, tous les médecins s'accordent à fixer le taux de capacité du recourant, à 100 % dans une profession adaptée, y compris le SMR par le biais du Dr B__________ et le médecin traitant qui concluent à ce pourcentage. Ces constatations l'emportent sur celles qui ont été faites à l'occasion du stage d'observation professionnelle en 1999. Enfin, c'est d'ailleurs le taux retenu par l'OCAI. Dès lors qu'aucune pièce médicale versée au dossier n'est susceptible de mettre en cause les limitations physiques fonctionnelles déjà prises en considération dans le cadre du jugement du Tribunal administratif genevois du 3 février 2004, le Tribunal de céans ne saurait s'écarter de l'évaluation effectuée alors. S'agissant des capacités psychiques en revanche, les avis des médecins divergent.</w:t>
      </w:r>
    </w:p>
    <w:p>
      <w:r>
        <w:t>A/23/2007 - 13/15 - Contrairement au médecin traitant du recourant selon lequel l'assuré ne conserve qu'une capacité de travail résiduelle de 50%, la Dresse E__________ est d'avis qu'il n'y a aucune atteinte entraînant une incapacité de travail. Au préalable, il convient de reconnaître toute valeur probante au rapport établi par la Dresse E__________. Il est d'une part, complet et clair, et d'autre part convaincant, ce médecin ayant expliqué pour quelles raisons elle admettait, sur le plan strictement psychique, une capacité résiduelle de travail de 100% dans toute activité. Le médecin n'a d'ailleurs pas simplement ignoré les troubles psychiques du recourant dès lors qu'il a analysé l'ampleur de l'état dépressif. Contrairement au médecin traitant, l'office intimé a en revanche estimé que ces troubles ne remplissaient pas les critères de gravité posés par la jurisprudence pour se voir reconnaître valeur d'atteinte invalidante (cf. arrêt du 31 janvier 2006 en la cause R, réf. I 488/04). A ce titre, l'intimé a souligné le suivi mensuel auprès du psychiatre (soit à peine douze séances par année) ainsi que le traitement journalier aux antidépresseurs à de très faibles doses (10 gr seulement de SEROPRAM), qualifiées d'homéopathiques. Le recourant allègue une aggravation de son état de santé depuis 2001 dont le médecin traitant pourrait attester de vive voix devant le Tribunal de céans. Or, il ressort au contraire des pièces versées au dossier et notamment de celles du médecin traitant - qui, dans le doute, prend généralement parti pour son patient du fait du lien de confiance qui les unit - que suite à une période initiale en 2002, l'état dépressif du recourant s'est amélioré grâce à un traitement pharmacologique. Certes, ce médecin indique que l'état de santé du recourant est stationnaire depuis sa première consultation en 2002. Toutefois, cette affirmation est contredite par les explications complémentaires qu'il fournit. Quoi qu'il en soit, au vu du léger suivi psychiatrique (1x par mois) et des doses quasi négligeables d'antidépresseurs, il est manifeste que l'atteinte du recourant ne remplit pas les critères jurisprudentiels de gravité. Une audition du médecin traitant ne saurait modifier cela. En résumé, une aggravation de l'état de santé - qu'elle soit psychique ou physique - ne trouve aucun appui dans le dossier médical. Par rapport à la comparaison des revenus, le Tribunal de céans constate que les revenus pris en compte dans le cadre de la comparaison des revenus n'ont à juste titre pas été contestés. Il y a lieu de préciser que le simple fait que l'assuré estime l'activité d'agent de sécurité incompatible avec son état de santé, n'est pas suffisant pour écarter les avis concordants de l'employeur et des médecins selon lesquels le poste occupé à l'époque par le recourant pour sa formation était adapté. C'est en effet le revenu de l'activité lucrative médico-théorique exigible qui est déterminant. En effet, l'assurance-invalidité n'a pas à répondre d'une diminution de la capacité de gain due essentiellement à d'autres facteurs qu'à une atteinte à la santé, tels que le manque de formation professionnelle, des difficultés linguistiques ou l'âge (facteurs</w:t>
      </w:r>
    </w:p>
    <w:p>
      <w:r>
        <w:t>A/23/2007 - 14/15 - étrangers à l'invalidité; cf. ATF 107 V 21 consid. 2c; VSI 1999 p. 247 consid. 1; Hardy LANDOLT, Das Zumutbarkeitsprinzip im schweizerischem Sozialversicherungsrecht, thèse 1995 Zurich, p. 276 ss; Béatrice BREITENMOSER, Invalidenversicherung quo vadis ?, Die Kausalitätsprobleme in der IV in : Psychische Störungen und die Sozialversicherungsrecht - Schwerpunkt Unfallversicherung, Berne 2002 p. 144 ss). Dans le même ordre d'idées, la réinsertion effective du recourant dans le marché du travail n'a pas de conséquences pour l'issue du litige. La notion de marché du travail équilibré est en effet une notion théorique et abstraite, qui sert de critère de distinction entre les cas tombant sous le coup de l'assurance-chômage et ceux qui relèvent de l'assurance-invalidité, de l'assurance-accidents ou de l'assurance militaire. (ATF 110 V 276 consid. 3b; RCC 1991 p. 332 consid. 3b). Le taux d'invalidité de 27% retenu par l'OCAI doit ainsi être confirmé. Sur ce point, le recours mal fondé, doit être rejeté et la décision sur opposition du 25 septembre 2006 confirmée.</w:t>
      </w:r>
    </w:p>
    <w:p>
      <w:r>
        <w:rPr>
          <w:b/>
        </w:rPr>
        <w:t>E. 10</w:t>
      </w:r>
    </w:p>
    <w:p>
      <w:r>
        <w:t>Se fondant sur un taux d'invalidité supérieur à 20%, le recourant réclame subsidiairement de nouvelles mesures d'ordre professionnel. Force est cependant de constater que l'intimé ne s'est pas prononcé sur ce point, de sorte que la question ne fait pas partie de l'objet du litige. Le Tribunal de céans ne saurait se substituer à l'OCAI à qui il incombe de statuer.</w:t>
      </w:r>
    </w:p>
    <w:p>
      <w:r>
        <w:rPr>
          <w:b/>
        </w:rPr>
        <w:t>E. 11</w:t>
      </w:r>
    </w:p>
    <w:p>
      <w:r>
        <w:t>En vertu de l'art. 69 al. 1 bis LAI, entré en vigueur le 1er juillet 2006, la procédure de recours en matière de contestations portant sur l'octroi ou le refus de prestations de l'AI devant le Tribunal de céans est soumise à des frais de justice, lesquels doivent se situer entre 200 fr. et 1'000 fr. Au vu du sort du recours, il y a lieu de condamner le recourant au paiement d'un émolument de 200 fr.</w:t>
      </w:r>
    </w:p>
    <w:p>
      <w:r>
        <w:t>A/23/2007 - 15/15 -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