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ATAS/708/2018 vom 20. August 2018</w:t>
      </w:r>
    </w:p>
    <w:p>
      <w:r>
        <w:t>GE Cour de justice, 2018-08-20, FR</w:t>
      </w:r>
    </w:p>
    <w:p>
      <w:r>
        <w:rPr>
          <w:b/>
        </w:rPr>
        <w:t xml:space="preserve">Quelle: </w:t>
      </w:r>
      <w:r>
        <w:t>https://mcp.opencaselaw.ch/entscheid/ge_gerichte_ATAS_708_2018</w:t>
      </w:r>
    </w:p>
    <w:p>
      <w:r>
        <w:t>FR: GE_GERICHTE ATAS/708/2018 du 20 août 2018</w:t>
      </w:r>
    </w:p>
    <w:p>
      <w:r>
        <w:t>IT: GE_GERICHTE ATAS/708/2018 del 20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force le 1er janvier 2003, est applicable à la présente procédure.</w:t>
      </w:r>
    </w:p>
    <w:p>
      <w:r>
        <w:rPr>
          <w:b/>
        </w:rPr>
        <w:t>E. 3</w:t>
      </w:r>
    </w:p>
    <w:p>
      <w:r>
        <w:t>Le recours, déposé dans les délai et forme prévus par la loi, est recevable (art. 56ss LPGA). Sur le fond, le recourant a certes conclu à la constatation de son droit aux prestations, plutôt qu’à leur octroi. Or, de telles conclusions sont subsidiaires par rapport à une action condamnatoire (ATF 129 V 289 consid. 2.1, arrêt du Tribunal fédéral des assurances B 149/06 du 11 juin 2007 consid. 5.2). Il y a toutefois lieu d’interpréter ces conclusions en ce sens que le recourant entend voir l’intimé condamné à lui allouer des prestations d’invalidité, de sorte que ses conclusions sont recevables.</w:t>
      </w:r>
    </w:p>
    <w:p>
      <w:r>
        <w:rPr>
          <w:b/>
        </w:rPr>
        <w:t>E. 4</w:t>
      </w:r>
    </w:p>
    <w:p>
      <w:r>
        <w:t>Le litige porte sur le droit du recourant à des prestations d’invalidité.</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t>A/533/2018 - 10/14 -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7</w:t>
      </w:r>
    </w:p>
    <w:p>
      <w:r>
        <w:t>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w:t>
      </w:r>
    </w:p>
    <w:p>
      <w:r>
        <w:t>A/533/2018 - 11/14 -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L’intimé a fondé son calcul d’invalidité sur une capacité de travail complète dans une activité adaptée. Il convient ainsi d’examiner si les rapports médicaux versés au dossier ont établi de manière probante que le recourant était apte à travailler à temps complet dans une activité respectant ses limitations fonctionnelles. On notera d’abord s’agissant du Dr C______ que ce dernier a retenu une capacité de travail de 50 %, dans son rapport du 29 avril 2013, et qu’il ne s’est pas</w:t>
      </w:r>
    </w:p>
    <w:p>
      <w:r>
        <w:t>A/533/2018 - 12/14 - expressément déterminé sur la capacité de travail du recourant dans ses autres rapports. Cela étant, au plan formel, les documents émanant de ce praticien ne contiennent pas tous les éléments nécessaires pour se voir reconnaître une pleine valeur probante. Le SMR s’est quant à lui écarté de l’appréciation du Dr C______ en admettant une pleine capacité de travail, sans toutefois motiver sa conclusion. C’est ici le lieu de rappeler que les rapports du SMR ont seulement pour fonction d’opérer la synthèse des renseignements médicaux recueillis, de prendre position à leur sujet et de prodiguer des recommandations quant à la suite à donner au dossier sur le plan médical (ATF 142 V 58 consid. 5.1). Ces rapports ne sont certes pas dénués de toute valeur probante et il est admissible de se fonder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(arrêt du Tribunal fédéral 9C_10/2017 du 27 mars 2017 consid. 5.1). Ainsi, les avis du SMR dans la présente procédure ne sont à l’évidence pas suffisants pour trancher la question de la capacité de travail médico-théorique du recourant. Quant à l’expertise réalisée par les spécialistes en neurochirurgie du CHUV, elle comprend certes une anamnèse, un status et énumère les plaintes du recourant. Cela étant, elle ne répond pas aux questions d’ordre médical qu’elle était censée clarifier, puisque les Drs E______ et F______ n’ont pas articulé de capacité de travail de manière précise – tout en indiquant néanmoins qu’une activité à temps partiel semblait possible – ni formellement établi de limitations fonctionnelles. Sur ce dernier point, ils se sont en effet référés au rapport du SMR de juin 2013, en soulignant toutefois qu’il s’agissait d’une évaluation uniquement théorique. Pour le surplus, les réponses des experts sont peu claires. Au vu de ces lacunes, l’expertise du 17 août 2016 ne permet en aucun cas de conclure à une capacité de travail complète du recourant, même dans une activité adaptée. Par surabondance, il convient de souligner que cette expertise a été mise en œuvre sans que l’intimé ait invité le recourant à se prononcer sur les experts désignés et sur les questions à leur soumettre, ce qui relève d’une violation du droit d’être entendu (sur les exigences en matière de mise en œuvre d’expertises administratives, cf. ATF 137 V 210 consid. 3.2.4.6 et 3.2.4.9). Or, le droit d'être entendu est une garantie constitutionnelle, ancrée à l’art. 29 de la Constitution (Cst – RS 101). Elle est de caractère formel, et sa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Ce vice ne peut être réparé</w:t>
      </w:r>
    </w:p>
    <w:p>
      <w:r>
        <w:t>A/533/2018 - 13/14 - lorsque l'expertise constitue l'élément central et prépondérant de l'instruction (RAMA 2000 n° U 369 p. 104 consid. 2b ; arrêt du Tribunal fédéral des assurances U 265/04 du 23 septembre 2005 consid. 2.3). Il convient ainsi de renvoyer la cause à l’intimé, à charge pour ce dernier de mettre en œuvre une nouvelle expertise neurochirurgicale dans le respect des exigences légales et jurisprudentielles. Dans ce cadre, il conviendra notamment d’inviter l’expert à se déterminer sur les constatations des EPI. Le recourant a conclu à son audition et à une expertise comprenant des volets rhumatologique et psychique. Dès lors que son atteinte est essentiellement de nature neurochirurgicale et qu’aucun médecin n’a en particulier signalé de symptôme évoquant une problématique psychique pathologique, de telles mesures d’instruction n’ont pas à être mises en œuvre. En outre, eu égard au renvoi à l’intimé pour instruction complémentaire, l’audition du recourant s’avère inutile. La décision que l’intimé devra rendre une fois les conclusions de la nouvelle expertise connues devra également statuer sur le droit du recourant à des mesures d’ordre professionnel, étant souligné que la motivation de la décision litigieuse sur ce point est pour le moins lacunaire. De plus, de telles mesures, et notamment une aide au placement, pourraient entrer en ligne de compte si l’expert neurochirurgien devait conclure à une capacité de gain résiduelle du recourant.</w:t>
      </w:r>
    </w:p>
    <w:p>
      <w:r>
        <w:rPr>
          <w:b/>
        </w:rPr>
        <w:t>E. 9</w:t>
      </w:r>
    </w:p>
    <w:p>
      <w:r>
        <w:t>Le recours est partiellement admis. Le recourant, qui obtient partiellement gain de cause, a droit à des dépens qui seront fixés à CHF 2'000.- (art. 61 let. g LPGA). La procédure en matière d’assurance-invalidité n’étant pas gratuite, l’intimé supporte l'émolument de CHF 500.- (art. 69 al. 1bis LAI).</w:t>
      </w:r>
    </w:p>
    <w:p>
      <w:r>
        <w:t>A/533/2018 - 14/14 -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