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ATAS/708/2010 vom 11. März 2010</w:t>
      </w:r>
    </w:p>
    <w:p>
      <w:r>
        <w:t>GE Cour de justice, 2010-03-11, FR</w:t>
      </w:r>
    </w:p>
    <w:p>
      <w:r>
        <w:rPr>
          <w:b/>
        </w:rPr>
        <w:t xml:space="preserve">Quelle: </w:t>
      </w:r>
      <w:r>
        <w:t>https://mcp.opencaselaw.ch/entscheid/ge_gerichte_ATAS_708_2010</w:t>
      </w:r>
    </w:p>
    <w:p>
      <w:r>
        <w:t>FR: GE_GERICHTE ATAS/708/2010 du 11 mars 2010</w:t>
      </w:r>
    </w:p>
    <w:p>
      <w:r>
        <w:t>IT: GE_GERICHTE ATAS/708/2010 del 11 marzo 2010</w:t>
      </w:r>
    </w:p>
    <w:p>
      <w:pPr>
        <w:pStyle w:val="Heading2"/>
      </w:pPr>
      <w:r>
        <w:t>Erwägungen</w:t>
      </w:r>
    </w:p>
    <w:p>
      <w:r>
        <w:rPr>
          <w:b/>
        </w:rPr>
        <w:t>E. 1</w:t>
      </w:r>
    </w:p>
    <w:p>
      <w:r>
        <w:t>de la loi fédérale sur la prévoyance professionnelle du 25 juin 1982 (LPP), soit à Genève le Tribunal cantonal des assurances sociales depuis le 1er août 2003, doit,</w:t>
      </w:r>
    </w:p>
    <w:p>
      <w:r>
        <w:t>A/1676/2010 - 3/4 -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Une indemnité équitable est due lorsqu'un cas de prévoyance est déjà survenu pour l'un des époux ou pour les deux ou que les prétentions en matière de prévoyance professionnelle acquises durant le mariage ne peuvent être partagées pour d'autres motifs (art. 124 al. 1 CC). Lorsqu'une indemnité équitable est versée à l'un des époux en vertu de l'art. 124 CC, le jugement de divorce peut prescrire qu'une partie de la prestation de sortie sera imputée sur l'indemnité équitable (art. 22b al. 1 LFLP) (ATF du 10 mai 2010 9C 388/2009).</w:t>
      </w:r>
    </w:p>
    <w:p>
      <w:r>
        <w:rPr>
          <w:b/>
        </w:rPr>
        <w:t>E. 4</w:t>
      </w:r>
    </w:p>
    <w:p>
      <w:r>
        <w:t>En l’espèce, le juge de première instance a fixé une indemnité équitable équivalant à la moitié des avoirs de prévoyance de la demanderesse accumulés pendant la durée du mariage. Les dates pertinentes sont, d’une part, celle du mariage, le 11 février 2006, d’autre part le 4 mai 2010, date à laquelle le jugement de divorce est devenu exécutoire. Selon les documents au dossier, la prestation acquise pendant le mariage par Mme I___________ est de 1'835 fr. 25 auprès de AXA WINTERTHUR, intérêts compris. Ainsi, l'indemnité équitable se monte à 917 fr. 65 (1'835 fr. 25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A/1676/2010 - 4/4 -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