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ATAS/707/2022 vom 15. August 2022</w:t>
      </w:r>
    </w:p>
    <w:p>
      <w:r>
        <w:t>GE Cour de justice, 2022-08-15, FR</w:t>
      </w:r>
    </w:p>
    <w:p>
      <w:r>
        <w:rPr>
          <w:b/>
        </w:rPr>
        <w:t xml:space="preserve">Quelle: </w:t>
      </w:r>
      <w:r>
        <w:t>https://mcp.opencaselaw.ch/entscheid/ge_gerichte_ATAS_707_2022</w:t>
      </w:r>
    </w:p>
    <w:p>
      <w:r>
        <w:t>FR: GE_GERICHTE ATAS/707/2022 du 15 août 2022</w:t>
      </w:r>
    </w:p>
    <w:p>
      <w:r>
        <w:t>IT: GE_GERICHTE ATAS/707/2022 del 15 agosto 2022</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rPr>
          <w:b/>
        </w:rPr>
        <w:t>E. 1.2</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exécutoire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2.1</w:t>
      </w:r>
    </w:p>
    <w:p>
      <w:r>
        <w:t>Selon l'art. 22 LFLP,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w:t>
      </w:r>
    </w:p>
    <w:p>
      <w:r>
        <w:t>A/1251/2022 - 4/6 -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2.2</w:t>
      </w:r>
    </w:p>
    <w:p>
      <w:r>
        <w:t>Selon l’art. 25a al. 1 LFLP, si une décision concernant le partage de la prévoyance professionnelle en application de l’art. 280 ou 281 CPC s’avère impossible à prendre durant la procédure de divorce, le juge du lieu du divorce compétent au sens de l’art. 73 al. 1 LPP exécute d’office, après que l’affaire lui a été transmise (art. 281, al. 3, CPC), le partage sur la base de la clé de répartition déterminée par le juge du divorce.</w:t>
      </w:r>
    </w:p>
    <w:p>
      <w:r>
        <w:rPr>
          <w:b/>
        </w:rPr>
        <w:t>E. 3</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4</w:t>
      </w:r>
    </w:p>
    <w:p>
      <w:r>
        <w:t>Selon l'art. 22 LFLP (dans sa teneur en vigueur depuis le 1er janvier 2017),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5</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w:t>
      </w:r>
    </w:p>
    <w:p>
      <w:r>
        <w:t>A/1251/2022 - 5/6 - en 2008, 2% de 2009 à 2011, 1.5% de 2012 à 2013, 1.75% de 2014 à 2015, 1.25% en 2016 et 1% dès le 1er janvier 2017. Si le règlement de l'institution de prévoyance prévoit un taux d'intérêt supérieur pour l'avoir de vieillesse, ce taux est alors applicable (arrêt du Tribunal fédéral 9C_149/2017 du 10 octobre 2017 consid. 5.1).</w:t>
      </w:r>
    </w:p>
    <w:p>
      <w:r>
        <w:rPr>
          <w:b/>
        </w:rPr>
        <w:t>E. 6</w:t>
      </w:r>
    </w:p>
    <w:p>
      <w:r>
        <w:t>En l’espèce, le juge de première instance a ordonné le partage par moitié des prestations de sortie acquises par les demandeurs du 26 novembre 2014, date du mariage, au 9 février 2021, date à laquelle la demande en divorce a été déposée.</w:t>
      </w:r>
    </w:p>
    <w:p>
      <w:r>
        <w:rPr>
          <w:b/>
        </w:rPr>
        <w:t>E. 7</w:t>
      </w:r>
    </w:p>
    <w:p>
      <w:r>
        <w:t>Selon les documents produits, la prestation acquise pendant le mariage par le demandeur est de CHF 6'517.09 auprès de la Fondation institution supplétive LPP, tandis que celle acquise par la demanderesse est de CHF 2'241.41 auprès de la Fondation de libre passage d’UBS SA, les intérêts ayant déjà été calculés par les institutions de prévoyance défenderesses. Ainsi le demandeur doit à son ex- épouse le montant de CHF 3'258.55 (CHF 6'517.09 : 2) et celle-ci doit à celui-là le montant de CHF 1'120.70 (CHF 2'241.41 : 2), de sorte que c’est le demandeur qui doit à la demanderesse le montant de CHF 2'137.85.</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 (LPA- GE - E 5 10).</w:t>
      </w:r>
    </w:p>
    <w:p>
      <w:r>
        <w:t>A/1251/2022 - 6/6 -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