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ATAS/707/2021 vom 30. Juni 2021</w:t>
      </w:r>
    </w:p>
    <w:p>
      <w:r>
        <w:t>GE Cour de justice, 2021-06-30, FR</w:t>
      </w:r>
    </w:p>
    <w:p>
      <w:r>
        <w:rPr>
          <w:b/>
        </w:rPr>
        <w:t xml:space="preserve">Quelle: </w:t>
      </w:r>
      <w:r>
        <w:t>https://mcp.opencaselaw.ch/entscheid/ge_gerichte_ATAS_707_2021</w:t>
      </w:r>
    </w:p>
    <w:p>
      <w:r>
        <w:t>FR: GE_GERICHTE ATAS/707/2021 du 30 juin 2021</w:t>
      </w:r>
    </w:p>
    <w:p>
      <w:r>
        <w:t>IT: GE_GERICHTE ATAS/707/2021 del 30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Cour de céans, il reste soumis à l'ancien droit (cf. art. 83 LPGA).</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4.1</w:t>
      </w:r>
    </w:p>
    <w:p>
      <w:r>
        <w:t>et la référence). Le Tribunal fédéral a ainsi considéré, dans son arrêt 9C_984/2008 du 4 mai 2009, que l’assuré, qui souffrait d’une personnalité borderline et qui avait besoin de</w:t>
      </w:r>
    </w:p>
    <w:p>
      <w:r>
        <w:t>A/2541/2019 - 14/16 -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(ATF I 198/76 du 4 octobre 1976 consid. 2, in RCC 1977 p. 206), les modifications structurelles que peut connaître le marché du travail sont des circonstances dont il y a lieu de tenir compte en matière d'assurance- invalidité (ATF I 436/92 du 29 septembre 1993 consid. 4c et 5b). La structure actuelle du marché du travail n'offre plus les conditions qui permettaient encore à une personne comme le recourant,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du recourant, la nature et l'importance du trouble de la personnalité constitue, au regard des conditions actuelles du marché du travail, des obstacles irrémédiables à la reprise d'une activité lucrative salariée. 12. En l’espèce, il ressort du rapport du Dr H______ que la recourante souffre d’un retard mental et qu’elle est capable d’effectuer, à 100%, une activité adaptée à ses faibles capacités intellectuelles, à savoir une activité avec de faibles exigences au niveau du raisonnement, de l’attention et de la mémoire, telle qu’une activité manuelle sans interactions compliquées avec les autres. Cela étant, si les symptômes dépressifs et le probable retard mental ne sont pas invalidants en milieu adapté non occupationnel, le probable retard mental exclut une activité sur le marché du travail usuel ainsi qu’une activité en milieu compétitif a priori. En résumé, l’activité adaptée ne peut s’exercer ni sur le marché usuel du travail, ni dans un milieu compétitif. Dans ces conditions, la recourante n'est de fait pas en mesure d'offrir ce que l'on est en droit d'attendre d'un travailleur dans des rapports de travail qualifiés de normaux. En effet, comme cela a été relevé supra, de nos jours,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dont la recourante est manifestement dépourvue. Ainsi, les concessions démesurées qui seraient demandées à un éventuel employeur rendent l'exercice d'une activité lucrative incompatible avec les exigences actuelles du monde économique, ce qui a au demeurant été relevé par le Dr H______ dans son rapport du 11 juin 2018, dès lors qu’il a expressément exclu une activité sur le marché usuel du travail et en milieu compétitif.</w:t>
      </w:r>
    </w:p>
    <w:p>
      <w:r>
        <w:t>A/2541/2019 - 15/16 - En conséquence, il convient d'admettre que la recourante n'est pas en mesure d'exploiter sa capacité résiduelle de travail sur le plan économique et de conclure à une incapacité de travail de 100%. 13. Cependant, malgré ce qui précède, une rente d’invalidité ne saurait être accordée à la recourante sans une instruction complémentaire sur les conditions d’assurance et le statut à lui accorder. En effet, la recourante est née en Turquie et est arrivée en Suisse à l’âge de 29 ans. Son retard mental est probablement congénital. Par conséquent la question des conditions d’assurance se pose. Or, ce point ne semble pas avoir été examiné par l’intimé. De plus, depuis son arrivée en Suisse, la recourante n’a, semble-t-il, travaillé qu’un seul mois, en octobre 2001. Dans une note du 1er mars 2017, l’intimé a évoqué un statut de ménagère. Ce point n’a toutefois jamais été investigué et aucune enquête ménagère n’a été effectuée, alors qu’il ressort tant du rapport du Dr H______ que des déclarations de la Dresse I______ que la recourante éprouve de grande difficultés à structurer son quotidien et à tenir son ménage. S'agissant essentiellement là d'aspects n'ayant pas été investigués plus avant par l'office intimé, la cause lui sera renvoyée pour instruction afin de respecter le principe du double degré de juridiction. 14. En conséquence, le recours est admis partiellement, par substitution de motifs. La décision du 27 mai 2019 est annulée et la cause renvoyée à l'OAI pour examen des conditions d’assurance et du statut de la recourante puis nouvelle décision. La recourante étant représentée par sa curatrice, salariée d'une administration publique, il ne lui sera pas alloué de dépens. D'ailleurs la représentante n'y a, à juste titre, pas conclu. Étant donné que depuis le 1er juillet 2006, la procédure n'est plus gratuite (art. 69 al. 1bis LAI), il y a lieu de condamner l'intimé au paiement d'un émolument de CHF 200.- au vu du sort du recours.</w:t>
      </w:r>
    </w:p>
    <w:p>
      <w:r>
        <w:t>A/2541/2019 - 16/16 - PAR CES MOTIFS, LA CHAMBRE DES ASSURANCES SOCIALES : Statuant À la forme :</w:t>
      </w:r>
    </w:p>
    <w:p>
      <w:r>
        <w:rPr>
          <w:b/>
        </w:rPr>
        <w:t>E. 5</w:t>
      </w:r>
    </w:p>
    <w:p>
      <w:r>
        <w:t>Le litige porte sur le droit de la recourante à une rente d’invalidité, singulièrement sur la valeur probante du rapport du Dr H______ du 11 juin 2018.</w:t>
      </w:r>
    </w:p>
    <w:p>
      <w:r>
        <w:rPr>
          <w:b/>
        </w:rPr>
        <w:t>E. 6</w:t>
      </w:r>
    </w:p>
    <w:p>
      <w:r>
        <w:t>a/aa.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w:t>
      </w:r>
    </w:p>
    <w:p>
      <w:r>
        <w:t>A/2541/2019 - 8/16 -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a/bb. Il y a atteinte à la santé mentale au sens propre lorsque le développement intellectuel est insuffisant et découle d'atteintes congénitales ou acquises (par exemple débilité, déficience mentale). Il y a par contre atteinte à la santé psychique lorsque les troubles sont d'ordre émotionnel ou cognitif (troubles de la perception), comme c'est le cas des personnes atteintes de schizophrénie, de dépression ou de troubles de la personnalité (FF 2001 3107).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de 50 à 59%, de 60 à 69% ou de 70% ou plus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w:t>
      </w:r>
    </w:p>
    <w:p>
      <w:r>
        <w:t>A/2541/2019 - 9/16 -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A/2541/2019 - 10/16 -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w:t>
      </w:r>
    </w:p>
    <w:p>
      <w:r>
        <w:t>A/2541/2019 - 11/16 -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a. En l’espèce, l’intimé s’est fondé sur le rapport du Dr H______ du 11 juin 2018 pour rejeter la demande de prestations de la recourante et lui nier tout droit à une rente d’invalidité. La recourante conteste quant à elle la valeur probante du rapport précité en s’étonnant du fait que celui-ci ne prenne pas en considération l’ensemble de ses troubles psychiques et physiques. Force est cependant de constater que le rapport précité remplit sur le plan formel toutes les exigences auxquelles la jurisprudence soumet la valeur probante d’un tel</w:t>
      </w:r>
    </w:p>
    <w:p>
      <w:r>
        <w:t>A/2541/2019 - 12/16 - document. Il contient le résumé du dossier, les indications subjectives de la recourante, des observations cliniques, ainsi qu'une discussion générale du cas. Les conclusions du Dr H______, qui résultent d'une analyse complète de la situation médicale, sont claires et bien motivées. Sur le fond, le psychiatre a retenu le diagnostic de retard mental léger (avec effet sur la capacité de travail) ainsi que celui d’état dépressif léger (sans effet sur la capacité de travail). L’assurée est capable d’exercer à 100% une activité adaptée à ses faibles capacités intellectuelles, à savoir avec de faibles exigences au niveau du raisonnement, de l’attention et de la mémoire, telle qu’une activité manuelle sans interactions compliquées avec les autres. Les symptômes dépressifs et le probable retard mental ne sont pas invalidants en milieu adapté non occupationnel. Une activité en milieu compétitif est cependant a priori exclue.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b/aa. Dans son avis du 24 août 2019, le SMR a considéré que la recourante ne souffrait d’aucune atteinte à la santé au sens de l’AI et que sa capacité de travail était de 100% dans une activité adaptée. Le résumé du SMR s’écarte toutefois, sans raisons, du texte clair du rapport du Dr H______. Certes, ce dernier a considéré que la recourante était capable de travailler à 100% dans une activité adaptée, mais il a expliqué que celle-ci ne devait poser que des exigences faibles au niveau du raisonnement, de l’attention et de la mémoire, sans interactions compliquées. De plus, le Dr H______ a également écrit, en page 12 de son rapport, en réponse à la question 4.7, que « le probable retard mental exclut une activité dans le marché usuel, ce qui n’est pas le cas pour l’épisode dépressif léger ». Et, en réponse à la question 6.3, page 14, l’expert psychiatre a encore précisé que « l’expertisée présente des limitations dans la perception des sujets complexes et dans la vitesse de traitement de l’information mais aussi dans la mémoire de travail. Par conséquent, un travail en milieu compétitif est a priori exclu ». En d’autres termes, le SMR s’est écarté des conclusions nuancées du Dr H______ sans fournir la moindre explication, de sorte qu’il ne saurait être suivi. b/bb. De son côté, la Dresse I______, entendue le 27 août 2020, a critiqué certains aspects de l’expertise du Dr H______, notamment en ce qui concerne ses constatations cliniques, et elle s’est notamment étonnée qu’il conclue à une capacité de travail de 100% malgré le retard mental et l’incapacité de la recourante à tenir son ménage.</w:t>
      </w:r>
    </w:p>
    <w:p>
      <w:r>
        <w:t>A/2541/2019 - 13/16 - Force est toutefois de constater que si l’expert a certes retenu une capacité de travail entière, il a nuancé l’activité exigible, en précisant les exigences (activité avec de faibles exigences au niveau du raisonnement, de l’attention et de la mémoire) et l’environnement dans lequel elle devait être exercée (ni sur le marché du travail usuel, ni en milieu compétitif). Or, comme cela ressort des considérations qui suivent, une telle activité paraît irréaliste, ce qui revient à retenir une incapacité de travail à 100%. En présence d’une incapacité de travail à 100% du point de vue psychique, il n’est pas nécessaire d’instruire les aspects somatiques du dossier.</w:t>
      </w:r>
    </w:p>
    <w:p>
      <w:r>
        <w:rPr>
          <w:b/>
        </w:rPr>
        <w:t>E. 11</w:t>
      </w:r>
    </w:p>
    <w:p>
      <w:r>
        <w:t>Compte tenu des conclusions du Dr H______, l’intimé aurait en réalité dû se demander si des possibilités de travail réalistes existaient pour la recourante. a. Comme indiqué précédemment,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w:t>
      </w:r>
    </w:p>
    <w:p>
      <w:r>
        <w:rPr>
          <w:b/>
        </w:rPr>
        <w:t>E. 16</w:t>
      </w:r>
    </w:p>
    <w:p>
      <w:r>
        <w:t>LPGA et art. 28 al. 2 LAI).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