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ATAS/706/2022 vom 15. August 2022</w:t>
      </w:r>
    </w:p>
    <w:p>
      <w:r>
        <w:t>GE Cour de justice, 2022-08-15, FR</w:t>
      </w:r>
    </w:p>
    <w:p>
      <w:r>
        <w:rPr>
          <w:b/>
        </w:rPr>
        <w:t xml:space="preserve">Quelle: </w:t>
      </w:r>
      <w:r>
        <w:t>https://mcp.opencaselaw.ch/entscheid/ge_gerichte_ATAS_706_2022</w:t>
      </w:r>
    </w:p>
    <w:p>
      <w:r>
        <w:t>FR: GE_GERICHTE ATAS/706/2022 du 15 août 2022</w:t>
      </w:r>
    </w:p>
    <w:p>
      <w:r>
        <w:t>IT: GE_GERICHTE ATAS/706/2022 del 15 agosto 2022</w:t>
      </w:r>
    </w:p>
    <w:p>
      <w:pPr>
        <w:pStyle w:val="Heading2"/>
      </w:pPr>
      <w:r>
        <w:t>Erwägungen</w:t>
      </w:r>
    </w:p>
    <w:p>
      <w:r>
        <w:rPr>
          <w:b/>
        </w:rPr>
        <w:t>E. 22</w:t>
      </w:r>
    </w:p>
    <w:p>
      <w:r>
        <w:t>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l'espèce, ce critère n'est pas réalisé. Ensuite de son accident, le recourant n'a pas subi d'intervention chirurgicale. Il a effectué un court séjour à la CRR (du 16 au 17 novembre 2021). Son traitement a été purement conservateur</w:t>
      </w:r>
    </w:p>
    <w:p>
      <w:r>
        <w:t>A/973/2022 - 15/17 - (physiothérapie, ostéopathie, kinésithérapie, hypnose; rapport de la Dresse B______ du 9 septembre 2021). 12.8 Le dossier ne fait mention d’aucune erreur médicale. 12.9 En ce qui concernent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Or, ce critère ne saurait été admis en l'occurrence, étant donné qu'il y a lieu de faire abstraction des troubles non objectivables, soit l'apparition d'acouphènes (arrêts du Tribunal fédéral 8C_810/2019 du 7 septembre 2020 consid. 4.3.2; 8C_612/2019 du 30 juin 2020 consid. 3.3.5). 12.10 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l'espèce, à la suite de son accident, le recourant a été en arrêt de travail total dans son activité d'ingénieur de projets du 28 mai au 11 juillet 2021 seulement, puis les périodes d'incapacité de travail ont oscillé entre 50 et 70% avant qu'il ne soit constaté que la reprise de travail à plein temps était exigible dans l'activité habituelle dès le 13 décembre 2021. Le critère en cause n'est donc pas rempli, d'autant moins que l'incapacité de travail partielle est justifiée par les acouphènes, voire les cervicalgies – non objectivables – dont se plaint le recourant. 12.11 Le point de savoir si le critère des douleurs physiques persistantes est satisfait peut rester indécis, dès lors que son éventuelle admission ne conduirait qu'à la reconnaissance d'un seul critère sur sept, ce qui est insuffisant pour admettre le lien de causalité adéquate. Ces douleurs doivent en tous cas être relativisées, étant donné que le recourant ne présente objectivement aucune limitation fonctionnelle de l'appareil locomoteur (rapport d'évaluation interdisciplinaire de la CRR du 22 novembre 2021 [dossier SUVA pièce 48</w:t>
      </w:r>
    </w:p>
    <w:p>
      <w:r>
        <w:t>A/973/2022 - 16/17 - p. 6]). Ce critère ne revêt donc pas à lui seul une intensité suffisante pour admettre l'existence d'un lien de causalité adéquate. 12.12 Partant, l'intimée était fondée à nier le droit du recourant à des prestations de l'assurance-accidents au-delà du 13 décembre 2021. 12.13 En conséquence, par appréciation anticipée des preuves (ATF 122 II 464 consid. 4a), il n'y a pas lieu de renvoyer le dossier à l'intimée, comme le sollicite le recourant, pour instruction complémentaire. 13. Au vu de ce qui précède, le recours est rejeté. Le recourant, qui succombe, n'a pas droit à des dépens (art. 61 let. g LPGA a contrario). Pour le surplus, la procédure est gratuite (art. 61 let. fbis a contrario LPGA).</w:t>
      </w:r>
    </w:p>
    <w:p>
      <w:r>
        <w:t>A/973/2022 - 17/17 -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