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ATAS/706/2018 vom 21. August 2018</w:t>
      </w:r>
    </w:p>
    <w:p>
      <w:r>
        <w:t>GE Cour de justice, 2018-08-21, FR</w:t>
      </w:r>
    </w:p>
    <w:p>
      <w:r>
        <w:rPr>
          <w:b/>
        </w:rPr>
        <w:t xml:space="preserve">Quelle: </w:t>
      </w:r>
      <w:r>
        <w:t>https://mcp.opencaselaw.ch/entscheid/ge_gerichte_ATAS_706_2018</w:t>
      </w:r>
    </w:p>
    <w:p>
      <w:r>
        <w:t>FR: GE_GERICHTE ATAS/706/2018 du 21 août 2018</w:t>
      </w:r>
    </w:p>
    <w:p>
      <w:r>
        <w:t>IT: GE_GERICHTE ATAS/706/2018 del 21 agosto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Selon l’art. 56 al. 1 LPGA, les décisions sur opposition et celles contre lesquelles la voie de l’opposition ne sont pas ouvertes sont sujettes à recours. L'art. 52 al. 1 LPGA prévoit que les décisions d'un assureur doivent être attaquées dans les trente jours par voie d'opposition auprès de l'assureur qui les a rendues. Selon l'art. 69 al. 1 let. a LAI, en dérogation aux art. 52 et 58 LPGA, les décisions des offices AI cantonaux peuvent directement faire l’objet d’un recours devant le tribunal des assurances du domicile de l’office concerné.</w:t>
      </w:r>
    </w:p>
    <w:p>
      <w:r>
        <w:rPr>
          <w:b/>
        </w:rPr>
        <w:t>E. 3</w:t>
      </w:r>
    </w:p>
    <w:p>
      <w:r>
        <w:t>En l'espèce, l’OAI a adressé à l’assurée un projet de décision daté du 26 avril 2018, aux termes duquel un délai de trente jours lui était imparti pour formuler d'éventuelles objections. Une décision sujette à recours interviendrait ultérieurement.</w:t>
      </w:r>
    </w:p>
    <w:p>
      <w:r>
        <w:rPr>
          <w:b/>
        </w:rPr>
        <w:t>E. 4</w:t>
      </w:r>
    </w:p>
    <w:p>
      <w:r>
        <w:t>Dès que les mesures d’instruction nécessaires ont été exécutées par les services spécialisés et que l’organe chargé d’appliquer d’éventuelles mesures de réadaptation a été désigné, l’office AI rend un prononcé concernant les prestations auxquelles l’assuré a droit (art. 74 RAI ; art. 69quater, al. 1, RAVS). L’office AI notifie son prononcé à l’assuré par la remise d’une communication (art. 51 LPGA ; art. 58 LAI ; art. 74ter et 74quater RAI). Avant que l’office AI communique à l’assuré toute décision finale qu’il entend prendre au sujet d’une demande de prestation ou au sujet de la suppression ou de la réduction d’une prestation déjà allouée, il lui donne l’occasion de s’exprimer oralement ou par écrit sur la manière dont le règlement du cas est envisagé (art. 57a, al. 1, LAI). La chambre de céans n’est pas compétente à ce stade de la procédure.</w:t>
      </w:r>
    </w:p>
    <w:p>
      <w:r>
        <w:rPr>
          <w:b/>
        </w:rPr>
        <w:t>E. 5</w:t>
      </w:r>
    </w:p>
    <w:p>
      <w:r>
        <w:t>Le présent recours est par conséquent prématuré et doit être déclaré irrecevable. Une telle conclusion se justifie même si l’assurée a été induite en erreur par l’OAI dans son courrier du 18 juin 2018.</w:t>
      </w:r>
    </w:p>
    <w:p>
      <w:r>
        <w:rPr>
          <w:b/>
        </w:rPr>
        <w:t>E. 6</w:t>
      </w:r>
    </w:p>
    <w:p>
      <w:r>
        <w:t>Selon l'art. 11 al. 3 de la loi sur la procédure administrative, du 12 septembre 1985 (LPA; RS E 5 10), si l'autorité décline sa compétence, elle transmet d'office l'affaire à l'autorité compétente et en avise les parties. En l'occurrence, le courrier du 5 juillet 2018 doit être transmis à l'OAI comme objet de sa compétence.</w:t>
      </w:r>
    </w:p>
    <w:p>
      <w:r>
        <w:t>A/2317/2018 - 4/4 -</w:t>
      </w:r>
    </w:p>
    <w:p>
      <w:r>
        <w:rPr>
          <w:b/>
        </w:rPr>
        <w:t>E. 7</w:t>
      </w:r>
    </w:p>
    <w:p>
      <w:r>
        <w:t>Il ne sera pas perçu d’émolument.</w:t>
      </w:r>
    </w:p>
    <w:p>
      <w:r>
        <w: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