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ATAS/706/2016 vom 7. September 2016</w:t>
      </w:r>
    </w:p>
    <w:p>
      <w:r>
        <w:t>GE Cour de justice, 2016-09-07, FR</w:t>
      </w:r>
    </w:p>
    <w:p>
      <w:r>
        <w:rPr>
          <w:b/>
        </w:rPr>
        <w:t xml:space="preserve">Quelle: </w:t>
      </w:r>
      <w:r>
        <w:t>https://mcp.opencaselaw.ch/entscheid/ge_gerichte_ATAS_706_2016</w:t>
      </w:r>
    </w:p>
    <w:p>
      <w:r>
        <w:t>FR: GE_GERICHTE ATAS/706/2016 du 7 septembre 2016</w:t>
      </w:r>
    </w:p>
    <w:p>
      <w:r>
        <w:t>IT: GE_GERICHTE ATAS/706/2016 del 7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6 octobre 2006 (5ème révision) et du 18 mars 2011 (révision 6a), entrées en vigueur le 1er janvier 2008, respectivement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le droit éventuel aux prestations doit être examiné en fonction des modifications de la LAI (révision 6a), entrées en vigueur le 1er janvier 2012 dans la mesure de leur pertinence (ATF 130 V 445 et les références; voir également ATF 130 V 329).</w:t>
      </w:r>
    </w:p>
    <w:p>
      <w:r>
        <w:rPr>
          <w:b/>
        </w:rPr>
        <w:t>E. 4</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5</w:t>
      </w:r>
    </w:p>
    <w:p>
      <w:r>
        <w:t>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w:t>
      </w:r>
    </w:p>
    <w:p>
      <w:r>
        <w:t>A/400/2016 - 10/18 - consiste ainsi en l’utilité pratique que l’admission du recours apporterait au recourant ou, en d’autres termes, dans le fait d’éviter un préjudice de nature économique, idéale, matérielle ou autre que la décision attaquée lui occasionnerait (ATF 131 V 298 consid. 3; ATF 120 V 39 consid. 2b; voir aussi ATF 137 II 40 consid. 2.3). L’intérêt doit être direct et concret ; en particulier, la personne doit se trouver dans un rapport suffisamment étroit avec la décision, tel n’étant pas le cas de celui qui n’est atteint que de manière indirecte ou médiate (ATF 131 V 298 consid. 3; ATF 130 V 196 consid. 3; ATF 127 V 80 consid. 3a/aa). En vertu de l’art. 60 al. 1 LPA-GE, ont qualité pour recourir notamment les parties à la procédure qui a abouti à la décision attaquée (let. a) et toute personne qui est touchée directement par une décision et a un intérêt personnel digne de protection à ce qu’elle soit annulée ou modifiée (let. b). En l’espèce, étant destinataire de la décision attaquée et devant prester pour le traitement de psychothérapie en cas de refus de prise en charge de la part de l’intimé, la recourante est directement touchée par la décision querellée et a un intérêt à ce que ladite décision soit modifiée. Par conséquent, elle possède la qualité pour agir.</w:t>
      </w:r>
    </w:p>
    <w:p>
      <w:r>
        <w:rPr>
          <w:b/>
        </w:rPr>
        <w:t>E. 6</w:t>
      </w:r>
    </w:p>
    <w:p>
      <w:r>
        <w:t>Le litige porte sur le droit de l’appelé en cause à une mesure médicale de l'assurance-invalidité sous couvert de l’infirmité congénitale n° 404 de l’OIC, plus particulièrement à la prolongation de la prise en charge par l’intimé d’une psychothérapie individuelle à partir du 1er novembre 2014.</w:t>
      </w:r>
    </w:p>
    <w:p>
      <w:r>
        <w:rPr>
          <w:b/>
        </w:rPr>
        <w:t>E. 7</w:t>
      </w:r>
    </w:p>
    <w:p>
      <w:r>
        <w:t>a) En vertu de l'art. 13 LAI,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 Faisant usage de cette délégation de compétence, le Conseil fédéral a édicté l’OIC. Selon l’art. 3 al. 2 LPGA, est réputée infirmité congénitale toute maladie présente à la naissance accomplie de l’enfant. D’après l’OIC, sont réputées infirmités congénitales les infirmités présentes à la naissance accomplie de l'enfant. La simple prédisposition à une maladie n’est pas réputée infirmité congénitale. Le moment où une infirmité congénitale est reconnue comme telle n’est pas déterminant (art. 1 al. 1). Sont réputés mesures médicales nécessaires au traitement d’une infirmité congénitale tous les actes dont la science médicale a reconnu qu’ils sont indiqués et qu’ils tendent au but thérapeutique visé d’une manière simple et adéquate (art. 2 al. 3). Le chiffre 404 de l'annexe à l'OIC (dans sa version en vigueur depuis le 1er mars 2012) qualifie d'infirmité congénitale les « troubles du comportement des enfants doués d'une intelligence normale, au sens d'une atteinte pathologique de l'affectivité ou de la capacité d'établir des contacts, en concomitance avec des troubles de l'impulsion, de la perception, de la cognition, de la concentration et de la</w:t>
      </w:r>
    </w:p>
    <w:p>
      <w:r>
        <w:t>A/400/2016 - 11/18 - mémorisation, lorsqu'ils ont été diagnostiqués et traités comme tels avant l'accomplissement de la neuvième année ». Dans sa teneur en vigueur jusqu’au 29 février 2012, le chiffre 404 qualifiait d’infirmité congénitale les «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 syndrome dû à une lésion diffuse ou localisée du cerveau et syndrome psycho- organique congénital infantile) ». Le chiffre 404 de l'annexe à l'OIC et la pratique administrative concernant cette disposition sont conformes à la loi (ATF 122 V 113 consid. 1b). b) Le syndrome psycho-organique ne se retrouve ni dans la classification internationale des troubles mentaux et des troubles du comportement (CIM-10), ni dans le Manuel diagnostique et statistique des troubles mentaux publié par la Société américaine de psychiatrie, 4ème édition (DSM-IV), lesquels ne prévoient pas de diagnostic qui correspondrait exactement aux critères selon le chiffre 404 de l'annexe à l'OIC. Tant le syndrome psycho-organique que le trouble du déficit de l'attention avec hyperactivité (TDAH ou TDA/H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(arrêt du Tribunal fédéral 9C_435/2014 du 10 septembre 2014 consid. 4.2; arrêt du Tribunal fédéral 8C_300/2007 du 14 janvier 2008 consid. 3.3; arrêt du Tribunal fédéral des assurances I 572/03 du 15 mars 2004). D’après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des contacts avec des groupes marginaux, une propension à la délinquance, à la consommation d’alcool et de stupéfiants (arrêt du Tribunal fédéral 9C_917/2011 du 28 mars 2012 consid. 3.2 et arrêt du Tribunal fédéral des assurances I 29/06 du 9 août 2007 consid. 6.1).</w:t>
      </w:r>
    </w:p>
    <w:p>
      <w:r>
        <w:t>A/400/2016 - 12/18 -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Au vu de la teneur de l’art. 2 al. 2 OIC, le traitement médical est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Michel VALTERIO, Droit de l’assurance-vieillesse et survivants [AVS] et de l’assurance-invalidité [AI], n° 1567).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207 consid. 3.3; arrêt du Tribunal fédéral des assurances I 283/04 du 15 avril 2005 consid. 3.2 et les références citées; arrêt du Tribunal fédéral des assurances I 355/01 du 12 octobre 2001 consid. 1). Pour cela, il doit exister entre l’infirmité congénitale et l’affection secondaire un lien très étroit de causalité adéquate. c) Selon la circulaire sur les mesures médicales, publiée par l’office fédéral des assurances sociales (ci-après : CMRM, valable depuis le 1er janvier 2015),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l’office 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(ch. 14). S’agissant de l’infirmité congénitale 404 OIC, il faut vérifier au plus tard au bout de deux ans si le traitement octroyé est adapté et efficace et s’il a des chances de succès. Il n’est possible et souhaitable de le prolonger que sur</w:t>
      </w:r>
    </w:p>
    <w:p>
      <w:r>
        <w:t>A/400/2016 - 13/18 - présentation d’un certificat établi par un médecin spécialiste confirmant clairement le succès et l’intérêt du traitement (ch. 404.11).</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9</w:t>
      </w:r>
    </w:p>
    <w:p>
      <w:r>
        <w:t>En l’espèce, dans sa décision du 5 janvier 2016, l’intimé légitime son refus de prendre en charge la poursuite du traitement de psychothérapie notamment par le diagnostic demeurant peu clair. Il reprend l’avis du Dr E______ du 17 décembre 2015 exposant que « pour ces diverses raisons (…) une prise en charge sous couvert de l’art. 13 OIC 404 n’est pas admissible ». Par cette formule, le médecin SMR se</w:t>
      </w:r>
    </w:p>
    <w:p>
      <w:r>
        <w:t>A/400/2016 - 14/18 - réfère notamment à sa considération précédente, à savoir que le rapport du 5 août 2010 ayant permis d’admettre le chiffre 404 OIC ne serait actuellement pas suffisant et que si la symptomatologie TDAH est toujours présente selon le rapport de la Dresse I______ (recte : H______), elle apparaît manifestement comme secondaire. En réalité, dans sa décision, l’intimé ne fait que reprendre la motivation du Dr E______ sans procéder à un examen juridique de la situation. Or, dans la mesure où, par communication du 4 octobre 2010, l’intimé a accepté de prendre en charge les frais de traitement de l’infirmité congénitale 404 OIC si nécessaire du 1er février 2009 au 31 décembre 2019 et que, par la suite, il n’a pas reconsidéré ou procédé à une révision de cette décision informelle en l’annulant, l’on voit mal comment l’argument que le chiffre 404 OIC ne serait actuellement pas suffisant pour retenir un diagnostic de TDAH pourrait légitimer une proposition de refus dans la présente procédure. En effet, lorsque l'assurance-invalidité entend revenir sur l'octroi de prestations ayant fait l'objet d'une simple communication (art. 74ter du règlement du 17 janvier 1961 sur l’assurance-invalidité du 17 janvier 1961 [RAI - RS 831.201]) avec laquelle l'assuré était d'accord si bien qu'il n'y a pas eu de décision formelle (art. 74quater RAI), les règles relatives à la reconsidération et la révision d’une décision entrée en force sont également applicables (ATF 129 V 200 consid. 1.1). Par conséquent, force est de constater qu’en réalité l’intimé ne conteste pas que les critères diagnostiques permettant de conclure à une infirmité congénitale au sens du chiffre 404 de l’OIC sont réalisés, mais allègue que le traitement est motivé par une symptomatologie secondaire au TDAH et conteste le bénéfice dudit traitement. Aussi, il convient d’examiner en premier lieu, si le traitement est motivé par le TDAH ou par des symptômes secondaires.</w:t>
      </w:r>
    </w:p>
    <w:p>
      <w:r>
        <w:rPr>
          <w:b/>
        </w:rPr>
        <w:t>E. 10</w:t>
      </w:r>
    </w:p>
    <w:p>
      <w:r>
        <w:t>Selon le rapport de la Dresse H______ du 1er décembre 2015, l’appelé en cause a présenté des troubles du comportement et de la concentration à l’école à l’âge de 7 ans, avec angoisses importantes et forte labilité émotionnelle. A ce moment-là, ont été posés les diagnostics de troubles des conduites et trouble émotionnel ainsi qu’un probable TDAH. L’appelé en cause présente de longue date une organisation limite de la personnalité organisée avec, au premier plan, des épisodes anxieux massifs et de difficultés relationnelles très importantes ainsi qu’une humeur fluctuante. Le diagnostic actuel consiste en trouble mixte des conduites et troubles émotionnels, sans précision ainsi qu’en trouble de l'attachement de l'enfance avec désinhibition. La symptomatologie TDAH diagnostiquée à l’âge de 7 ans reste toujours bien présente - troubles du comportement et du contact, impulsivité très importante, troubles de la perception et attention variable - tout en étant difficilement séparable du trouble affectif et de la personnalité. Le pronostic du traitement est actuellement moyennement favorable car la psychothérapie ne vise pas la disparition de la symptomatologie, ni du trouble psychique, mais l’atténuation de l’intensité des symptômes affectifs, la poursuite de la baisse de fréquence des symptômes comportementaux, une amélioration de l’estime de soi et</w:t>
      </w:r>
    </w:p>
    <w:p>
      <w:r>
        <w:t>A/400/2016 - 15/18 - un renforcement identitaire permettant à l’appelé en cause une meilleure gestion de son trouble au quotidien. Dans son avis du 17 décembre 2015, le Dr E______ indique que la Dresse I______ (recte : H______) « estime que si la symptomatologie TDAH est toujours présente, elle apparaît manifestement comme secondaire ». Dans son rapport, la Dresse H______ ne précise aucunement que ladite symptomatologie est secondaire. Par conséquent, il s’agit d’une interprétation par le Dr E______ du rapport de la Dresse H______. Or, dans son avis, le médecin SMR se borne à utiliser le mot « manifestement » sans donner la moindre explication permettant de comprendre quels sont les éléments qui lui permettent d’aboutir à une telle conclusion. Par conséquent, d’après la jurisprudence relative à l’appréciation des rapports médicaux, un tel avis sans aucune motivation n’a pas de valeur probante. Quoi qu’il en soit, selon la jurisprudence susmentionnée (cf. supra consid. 6b), le fait que la symptomatologie TDAH soit difficilement séparable du trouble affectif et du trouble de la personnalité chez l’appelé en cause est inhérent aux symptômes du TDAH qui provoquent ou s’accompagnent d’autres maladies psychiques telles que la dépression et les troubles anxieux, soit précisément la symptomatologie qu’il présente consistant en épisodes anxieux massifs et humeur fluctuante. Par conséquent, ladite symptomatologie décrite par la Dresse H______ n’est pas secondaire au TDAH mais appartient à ce dernier.</w:t>
      </w:r>
    </w:p>
    <w:p>
      <w:r>
        <w:rPr>
          <w:b/>
        </w:rPr>
        <w:t>E. 11</w:t>
      </w:r>
    </w:p>
    <w:p>
      <w:r>
        <w:t>En second lieu, il convient d’examiner si le traitement de psychothérapie requis dès le 1er novembre 2014 est bénéfique. a) Dans son rapport du 1er décembre 2015, la Dresse H______ expose qu’à l’âge de</w:t>
      </w:r>
    </w:p>
    <w:p>
      <w:r>
        <w:rPr>
          <w:b/>
        </w:rPr>
        <w:t>E. 12</w:t>
      </w:r>
    </w:p>
    <w:p>
      <w:r>
        <w:t>Au vu de ce qui précède, le recours sera admis et la décision du 5 janvier 2016 sera annulée. Obtenant gain de cause, la recourante prétend à des dépens. Or,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149 consid. 4 et ATF 118 V 158 consid. 7). En l’occurrence, la recourante ne satisfait à aucune de ces conditions, de sorte qu’elle n’a pas droit à des dépens. Etant donné que depuis le 1er juillet 2006, la procédure n'est plus gratuite (art. 69 al. 1bis LAI), au vu du sort du recours, il y a lieu de condamner l’intimé au paiement d'un émolument de CHF 500.-.</w:t>
      </w:r>
    </w:p>
    <w:p>
      <w:r>
        <w:t>A/400/2016 - 18/18 -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