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ATAS/706/2015 vom 14. September 2015</w:t>
      </w:r>
    </w:p>
    <w:p>
      <w:r>
        <w:t>GE Cour de justice, 2015-09-14, FR</w:t>
      </w:r>
    </w:p>
    <w:p>
      <w:r>
        <w:rPr>
          <w:b/>
        </w:rPr>
        <w:t xml:space="preserve">Quelle: </w:t>
      </w:r>
      <w:r>
        <w:t>https://mcp.opencaselaw.ch/entscheid/ge_gerichte_ATAS_706_2015</w:t>
      </w:r>
    </w:p>
    <w:p>
      <w:r>
        <w:t>FR: GE_GERICHTE ATAS/706/2015 du 14 septembre 2015</w:t>
      </w:r>
    </w:p>
    <w:p>
      <w:r>
        <w:t>IT: GE_GERICHTE ATAS/706/2015 del 14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w:t>
      </w:r>
    </w:p>
    <w:p>
      <w:r>
        <w:t>A/3552/2014 - 10/22 -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2010.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3</w:t>
      </w:r>
    </w:p>
    <w:p>
      <w:r>
        <w:t>Le délai de recours est de 30 jours (art. 60 al. 1 LPGA). Interjeté dans la forme et le délai prévus par la loi, le recours est recevable (art. 56 à 61 LPGA).</w:t>
      </w:r>
    </w:p>
    <w:p>
      <w:r>
        <w:rPr>
          <w:b/>
        </w:rPr>
        <w:t>E. 4</w:t>
      </w:r>
    </w:p>
    <w:p>
      <w:r>
        <w:t>Le litige porte sur le droit de la recourante au maintien d’une rente entière d’invalidité au-delà du 31 octobre 2011, singulièrement sur sa capacité de travail et le choix de la méthode d’évaluation de l’invalidité.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t>A/3552/2014 - 11/22 -</w:t>
      </w:r>
    </w:p>
    <w:p>
      <w:r>
        <w:rPr>
          <w:b/>
        </w:rPr>
        <w:t>E. 6</w:t>
      </w:r>
    </w:p>
    <w:p>
      <w:r>
        <w:t>La reconnaissance de l'existence de troubles somatoformes douloureux persistants suppose d'abord la présence d'un diagnostic émanant d'un expert (psychiatre) et s'appuyant lege artis sur les critères d'un système de classification reconnu (ATF 130 V 396 consid. 5.3).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7</w:t>
      </w:r>
    </w:p>
    <w:p>
      <w:r>
        <w:t>L'évaluation des syndromes sans pathogenèse ni étiologie claires et sans constat de déficit organique ne fait pas l'objet d'un consensus médical (arrêt du Tribunal fédéral 9C_619/2012 du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w:t>
      </w:r>
    </w:p>
    <w:p>
      <w:r>
        <w:rPr>
          <w:b/>
        </w:rPr>
        <w:t>E. 8</w:t>
      </w:r>
    </w:p>
    <w:p>
      <w:r>
        <w:t>Dans un arrêt récent (9C_492/2014 du 3 juin 2015),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w:t>
      </w:r>
    </w:p>
    <w:p>
      <w:r>
        <w:t>A/3552/2014 - 12/22 -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(consid. 3.6 et 4). Il n'y a plus lieu de se fonder sur les critères de l'ATF 130 V 352, mais sur une grille d’analyse comportant divers indicateurs qui rassemblent les éléments essentiels propres aux troubles de nature psychosomatique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(II;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w:t>
      </w:r>
    </w:p>
    <w:p>
      <w:r>
        <w:t>A/3552/2014 - 13/22 -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(consid. 4.3.2). Ainsi, un trouble dépressif réactionnel au trouble somatoforme ne perd pas toute signification en tant que facteur d’affaiblissement potentiel des ressources, mais doit être pris en considération dans l’approche globale (consid. 4.3.1.3). B. Axe « personnalité » (diagnostic de la personnalité, ressources personnelles) Il s’agit d’accorder une importance accrue au complexe de personnalité de l’assuré (développement et structure de la personnalité, fonctions psychiques fondamentales). Le concept de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A/3552/2014 - 14/22 -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9</w:t>
      </w:r>
    </w:p>
    <w:p>
      <w:r>
        <w:t>Le diagnostic d'un trouble douloureux somatoforme doit être justifié médicalement de telle manière que les personnes chargées d’appliquer le droit puissent vérifier que les critères de classification ont été effectivement respectées (cf. ICD).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(arrêt du Tribunal fédéral 9C_492/2014 du 3 juin 2015 destiné à la publication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A/3552/2014 - 15/22 - ainsi que l'allégation de lourds handicaps malgré un environnement psychosocial intact (ATF 131 V 49 consid. 1.2).</w:t>
      </w:r>
    </w:p>
    <w:p>
      <w:r>
        <w:rPr>
          <w:b/>
        </w:rPr>
        <w:t>E. 10</w:t>
      </w:r>
    </w:p>
    <w:p>
      <w:r>
        <w:t>L’assuré a droit à une rente lorsqu’il a présenté une incapacité de travail d’au moins 40% en moyenne durant une année sans interruption notable et qu’au terme de cette année, il est invalide à 40% au moins (art. 28 al. 1 let. b et c LAI).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11</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27ss RAI ; ATF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w:t>
      </w:r>
    </w:p>
    <w:p>
      <w:r>
        <w:rPr>
          <w:b/>
        </w:rPr>
        <w:t>E. 12</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A/3552/2014 - 16/22 -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A/3552/2014 - 17/22 -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d.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op. cit. consid. 8).</w:t>
      </w:r>
    </w:p>
    <w:p>
      <w:r>
        <w:rPr>
          <w:b/>
        </w:rPr>
        <w:t>E. 13</w:t>
      </w:r>
    </w:p>
    <w:p>
      <w:r>
        <w:t>Il convient en premier lieu d’examiner quel statut reconnaître à la recourante. Celle-ci se prévaut d’un statut mixte, en soutenant qu’elle a toujours travaillé à temps partiel, que ce statut lui a été reconnu par l’AI dans sa première décision de 2007, et que ses douleurs l’empêchent d’accomplir ses tâches ménagères, de sorte qu’elle doit solliciter l’aide de ses proches.</w:t>
      </w:r>
    </w:p>
    <w:p>
      <w:r>
        <w:t>A/3552/2014 - 18/22 - À titre préalable, on rappellera que la recourante, âgée de 53 ans lors du prononcé de la décision litigieuse, dispose d’une formation d’employée de bureau qu’elle a achevée en 1979. Dès 1982, elle a travaillé pour diverses banques genevoises, notamment à 80% de 2001 à 2006 pour V_____, puis à 100% dès 2007 pour X_____, Y_____ et I_____, dont elle a été licenciée avec effet au 31 mars 2011. De son union avec son époux sont issues deux filles, âgées de 22 et 30 ans. L’aînée est mariée, travaille comme éducatrice et a quitté le domicile familial en 2009, tandis que la cadette habite avec sa mère et recherche un emploi. L’époux, chauffeur chez AB_____, ne vit plus avec la recourante depuis mars 2012. Une procédure de divorce serait en cours. La chambre de céans constate que la recourante a exercé une activité lucrative à 100% dès 2007 pour ses trois derniers employeurs, notamment du 8 juin 2009 au 31 mars 2011 pour la banque I_____. La recourante explique avoir travaillé à plein temps notamment parce qu’elle devait subvenir à l’entretien de ses filles. Or, dans la mesure où la situation financière du ménage commandait apparemment jusqu’en mars 2011 que l’assurée travaille à plein temps, ce alors qu’elle cohabitait avec son époux et que sa fille aînée, avait quitté le domicile familial, on voit mal comment il aurait pu en être autrement après la séparation du couple, car la constitution de domiciles séparés implique en règle générale un accroissement des charges des conjoints. Dans ses écritures du 8 janvier 2015, la recourante soutient qu’en bonne santé, elle n’aurait pas continué à travailler à plein temps face à la « perspective » d’une indépendance financière de ses filles. Cependant, la perspective alléguée ne s’était manifestement pas réalisée à la date déterminante de la décision litigieuse, puisque, selon les derniers renseignements figurant au dossier, la fille cadette est toujours domiciliée chez sa mère et recherche un emploi. Par ailleurs, le fait que la recourante ait parfois été empêchée par ses atteintes de travailler à plein temps ne saurait justifier l’admission d’un statut mixte, car la question de son statut dépend précisément de ce qu’elle aurait fait si ses atteintes n’étaient pas survenues. Il est vrai que l’intimé avait retenu un statut mixte en 2007, dans la mesure où l’assurée lui avait déclaré à l’époque travailler à 80% pour des raisons familiales. Toutefois, contrairement à ce que laisse entendre la recourante, la méthode d’évaluation de l’invalidité appliquée en 2007 ne saurait préjuger du statut à retenir en 2014 (Michel VALTERIO, Droit de l’assurance-vieillesse et survivants et de l’assurance-invalidité, Fribourg 2011, n° 2051). Au contraire, il y a lieu de tenir compte de l’évolution intervenue depuis la décision initiale, laquelle se caractérise par la reprise d’une activité à 100% pour trois employeurs différents jusqu’au début de l’année 2011, la séparation du couple et le fait que les deux enfants sont désormais majeurs et ne nécessitent donc plus une attention soutenue de la part de leur mère. Ces éléments corroborent l’admission d’un statut d’actif. Pour les motifs qui précèdent et comme le soutient à juste titre l’intimé, il paraît hautement vraisemblable qu’en bonne santé, la recourante aurait continué à</w:t>
      </w:r>
    </w:p>
    <w:p>
      <w:r>
        <w:t>A/3552/2014 - 19/22 - travailler à plein temps afin de subvenir à son propre entretien et à celui de sa fille. C’est donc bel et bien un statut d’actif qui doit être retenu.</w:t>
      </w:r>
    </w:p>
    <w:p>
      <w:r>
        <w:rPr>
          <w:b/>
        </w:rPr>
        <w:t>E. 14</w:t>
      </w:r>
    </w:p>
    <w:p>
      <w:r>
        <w:t>Il convient à présent d’évaluer la capacité de travail de la recourante et, pour ce faire, d’examiner la valeur probante des expertises et rapports versés au dossier. Se fondant sur l’expertise pluridisciplinaire du CEMed de 2013, l’intimé a retenu une capacité de travail de 50% dans toute activité dès mars 2010, de 0% dès janvier 2011, de 50% dès août 2011 puis de 100% avec une diminution de rendement de 20% dès « fin janvier 2012 ». De son côté, la recourante conteste la valeur probante de cette expertise et soutient qu’elle demeure totalement incapable de travailler. La chambre de céans constate que si elle répond à certains réquisits jurisprudentiels, l’expertise du CEMed est incomplète, dans la mesure où les experts ont renoncé à se déterminer sur l’existence d’un trouble somatoforme douloureux tout en arguant que les anciens critères jurisprudentiels permettant exceptionnellement de considérer ce diagnostic comme invalidant n’étaient pas remplis. Ce faisant, ils ont omis de poser un diagnostic clair permettant au juge de comprendre si les critères diagnostics relatifs au trouble somatoforme douloureux étaient réunis. De plus, les experts ont apprécié le caractère surmontable du trouble somatoforme à la lumière des anciens critères jurisprudentiels et sans motiver les raisons pour lesquels ceux-ci ne seraient pas remplis. Or, selon la nouvelle jurisprudence du Tribunal fédéral (arrêt 9C_492/2014 du 3 juin 2015), il y a dorénavant lieu d’examiner si les répercussions fonctionnelles de l’atteinte à la santé sont prouvées au degré de la vraisemblance prépondérante au moyen d’une série d’indicateurs standard (cf. supra consid. 8), indicateurs qu’il paraît impossible d’apprécier à ce stade, faute de motivation suffisante par les experts. En outre, il sied de relever que les experts du CEMed n’ont pas discuté des éventuelles répercussions sur la capacité de travail des problèmes d’incontinence et d’épaule droite de l’assurée, lesquels ressortent pourtant de leur anamnèse et de leur status, ainsi que des rapports des médecins de la recourante (cf. notamment rapports des Drs T_____ et U_____ des 13 février et 11 juin 2014). Par ailleurs, on peine à comprendre pourquoi les experts du CEMed ont fixé rétroactivement à fin janvier 2011, respectivement à fin janvier 2012, le recouvrement par l’assurée d’une capacité de travail entière sur le plan psychique et de 80% sur le plan somatique, attendu que le mois de janvier 2011 coïncide avec sa sortie de la clinique de Montana pour un état dépressif sévère, tandis que le mois de janvier 2012 correspond au retrait chirurgical de son bypass. En effet, il paraît surprenant que les experts ne retiennent aucune incapacité de travail consécutive à cette opération, ce sans justification et malgré les conclusions contraires du chirurgien L_____ (cf. rapport de sortie des HUG du 10 février 2012 et rapport du Dr L_____ du 7 février 2014).</w:t>
      </w:r>
    </w:p>
    <w:p>
      <w:r>
        <w:t>A/3552/2014 - 20/22 - Eu égard aux considérations qui précèdent, la chambre de céans estime que l’expertise du CEMed est lacunaire, de sorte que ses conclusions ne sauraient en l’état se voir reconnaître une pleine valeur probante. Quant à l’expertise psychiatrique du Dr G_____ d’octobre 2010, on relèvera que ce médecin a laissées ouvertes ses conclusions sur la capacité de travail, puisqu’il a dans un premier temps estimé la capacité de travail à 50% et jugé « envisageable » une reprise à 70% dès décembre 2010 et à 100% dès mars 2011, tout en proposant un nouvel examen ultérieur selon l’évolution de la situation. Ensuite, dans un rapport subséquent du 12 mai 2011, il a indiqué qu’une invalidité devenait de plus en plus probable et a exprimé le souhait d’examiner une nouvelle fois l’assurée, ce qu’il n’a finalement pas fait, la Nationale Suisse ne l’ayant apparemment pas mandaté à cette fin. Dans la mesure où la capacité de travail n’a pas été réévaluée par cet expert et ne s’est manifestement pas améliorée dans la mesure espérée, la chambre de céans ne saurait se fonder sur les conclusions du Dr G_____. S’agissant enfin des rapports des médecins de la recourante, émanant en particulier des Drs B_____, M_____, H_____, J_____, L_____ et S_____, ils sont peu motivés et ne se livrent pas à une analyse détaillée de l’ensemble des atteintes de l’assurée, si bien que l’on ne saurait sans autre se fonder sur ceux-ci. Il sied également de tenir compte du fait que, selon l'expérience, le médecin traitant est généralement enclin, en cas de doute, à prendre parti pour son patient en raison de la relation de confiance qui l'unit à ce dernier (ATF 125 V 351 consid. 3b/cc).</w:t>
      </w:r>
    </w:p>
    <w:p>
      <w:r>
        <w:rPr>
          <w:b/>
        </w:rPr>
        <w:t>E. 15</w:t>
      </w:r>
    </w:p>
    <w:p>
      <w:r>
        <w:t>En définitive, la chambre de céans constate que la cause est insuffisamment instruite, de sorte qu’elle n’est pas en mesure de statuer définitivement sur la capacité de travail, partant sur le degré d’invalidité et le maintien du droit à la rente. Il se justifie en conséquence d’admettre partiellement le recours, d’annuler la décision du 17 octobre 2014 et de renvoyer la cause à l’OAI pour instruction complémentaire et nouvelle décision. Cette instruction pourra être mise en œuvre par un complément d’expertise auprès du CEMed ou par une nouvelle expertise pluridisciplinaire confiée à des experts indépendants, selon la procédure prévue à l’art. 44 LPGA. Les experts se prononceront sur la capacité de travail et son évolution, en tenant compte de l’ensemble des rapports médicaux versés au dossier, y compris ceux produits par la recourante postérieurement à l’expertise du CEMed de 2013. En outre, si les experts confirment finalement le diagnostic de trouble somatoforme douloureux, il leur appartiendra d’évaluer la capacité de travail à la lumière des indicateurs standard développés par le Tribunal fédéral au consid. 4 de l’arrêt 9C_492/2014 précité, en motivant suffisamment leur appréciation.</w:t>
      </w:r>
    </w:p>
    <w:p>
      <w:r>
        <w:rPr>
          <w:b/>
        </w:rPr>
        <w:t>E. 16</w:t>
      </w:r>
    </w:p>
    <w:p>
      <w:r>
        <w:t>Depuis la modification de jurisprudence résultant de l’arrêt du Tribunal fédéral du 3 juin 2015 (arrêt 9C_492/2014), l’OAI a indiqué dans diverses procédures</w:t>
      </w:r>
    </w:p>
    <w:p>
      <w:r>
        <w:t>A/3552/2014 - 21/22 - pendantes devant la chambre de céans qu’il n’entendait pas faire application de cette nouvelle jurisprudence dans les procédures en cours. Dans ces conditions, il paraît opportun de relever que la nouvelle jurisprudence du Tribunal fédéral relative au trouble somatoforme douloureux est applicable au cas d’espèce, dès lors qu’un changement de jurisprudence s’applique aux affaires pendantes devant un tribunal au moment dudit changement (ATF 108 V 3). La jurisprudence publiée aux ATF 119 V 410, que l’intimé invoque régulièrement pour étayer son refus d’appliquer la nouvelle jurisprudence, n’y change rien, puisqu’elle se penche sur la question de savoir si le fait qu’une décision soit entrée en force s’oppose à l’application d’une nouvelle jurisprudence. Or, le cas particulier ne concerne précisément pas une décision en force, dans la mesure où la décision querellée a fait l’objet d’un recours. Partant, la modification de jurisprudence résultant de l’arrêt du Tribunal fédéral du 3 juin 2015 doit être prise en considération pour résoudre le présent litige.</w:t>
      </w:r>
    </w:p>
    <w:p>
      <w:r>
        <w:rPr>
          <w:b/>
        </w:rPr>
        <w:t>E. 17</w:t>
      </w:r>
    </w:p>
    <w:p>
      <w:r>
        <w:t>Au vu du renvoi de la cause et dans la mesure où l’instruction entreprise par l’intimé est incomplète, il n’y a pas lieu d’ordonner une expertise judiciaire.</w:t>
      </w:r>
    </w:p>
    <w:p>
      <w:r>
        <w:rPr>
          <w:b/>
        </w:rPr>
        <w:t>E. 18</w:t>
      </w:r>
    </w:p>
    <w:p>
      <w:r>
        <w:t>La recourante, représentée par un conseil, obtient partiellement gain de cause, de sorte qu’elle a droit à une indemnité à titre de participation à ses frais et dépens, que la chambre de céans fixe en l’occurrence à CHF 2'500.- (art. 61 let. g LPGA ; art. 89H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w:t>
      </w:r>
    </w:p>
    <w:p>
      <w:r>
        <w:t>A/3552/2014 - 22/22 -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