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ATAS/706/2012 vom 29. Mai 2012</w:t>
      </w:r>
    </w:p>
    <w:p>
      <w:r>
        <w:t>GE Cour de justice, 2012-05-29, FR</w:t>
      </w:r>
    </w:p>
    <w:p>
      <w:r>
        <w:rPr>
          <w:b/>
        </w:rPr>
        <w:t xml:space="preserve">Quelle: </w:t>
      </w:r>
      <w:r>
        <w:t>https://mcp.opencaselaw.ch/entscheid/ge_gerichte_ATAS_706_2012</w:t>
      </w:r>
    </w:p>
    <w:p>
      <w:r>
        <w:t>FR: GE_GERICHTE ATAS/706/2012 du 29 mai 2012</w:t>
      </w:r>
    </w:p>
    <w:p>
      <w:r>
        <w:t>IT: GE_GERICHTE ATAS/706/2012 del 29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et les novelles du 21 mars 2003 et du 6 octobre 2006 modifiant la LAI (4ème et 5ème révisions) sont entrées en vigueur respectivement les 1er janvier 2003, 1er janvier 2004 et 1er janvier 2008, entraînant de nombreuses modifications légales dans l'assurance-invalidité. La législation en vigueur en cas de changement de règles de droit reste celle qui était en vigueur lors de la réalisation de l'état de fait qui doit être apprécié juridiquement ou qui a des conséquences juridiques, sous réserve de dispositions particulières de droit transitoire (ATF 130 V 445 consid. 1.2.1). En l’espèce, compte tenu de la date de la décision litigieuse, le droit aux prestations doit être examiné à l’aune des dispositions de la LAI en vigueur jusqu’au 31 décembre 2003 pour la période courant jusqu’à cette date, puis en tenant compte des modifications législatives entrées en vigueur respectivement le 1er janvier 2004 et le 1er janvier 2008. Cela étant, la LPGA et la 4ème révision de l'AI n'ont modifié ni la notion d'invalidité, ni la manière d'évaluer le taux d'invalidité (ATFA non publié I 229/05 du 3 mai 2006, consid. 1.2). La 5ème révision n'a pas non plus amené de modifications substantielles en matière d'évaluation de l'invalidité (Message concernant la modification de la loi fédérale sur l'assurance-invalidité du 22 juin 2005, FF 2005 4322). En ce qui concerne en revanche la procédure, et à défaut de règles transitoires contraires, le nouveau droit s'applique sans réserve dès le jour de son entrée en vigueur (ATF 130 V 90 consid. 3.2).</w:t>
      </w:r>
    </w:p>
    <w:p>
      <w:r>
        <w:rPr>
          <w:b/>
        </w:rPr>
        <w:t>E. 3</w:t>
      </w:r>
    </w:p>
    <w:p>
      <w:r>
        <w:t>Interjeté dans les forme et délai prévus par la loi (art. 56ss LPGA), le présent recours est recevable.</w:t>
      </w:r>
    </w:p>
    <w:p>
      <w:r>
        <w:rPr>
          <w:b/>
        </w:rPr>
        <w:t>E. 4</w:t>
      </w:r>
    </w:p>
    <w:p>
      <w:r>
        <w:t>Le recours porte sur le droit de la recourante à une rente d’invalidité. La Cour de céans relève que l'OAI n'a cependant pas examiné les conditions d'assurance.</w:t>
      </w:r>
    </w:p>
    <w:p>
      <w:r>
        <w:t>A/1414/2011 - 24/33 - Aux termes de l'art. 36 al. 1 LAI dans sa teneur en vigueur du 1er janvier 1997 au 31 décembre 2007, avaient droit aux rentes ordinaires les assurés qui, lors de la survenance de l’invalidité, comptaient une année entière au moins de cotisations. En vertu de l'art. 6 al. 2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condition pourrait ne pas être remplie en l'espèce. Cependant, il sied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36 consid. 2a et les références citées). L'OAI ne s'étant jamais prononcé sur ces questions, il conviendra en fonction de l'issue du présent litige de lui renvoyer la cause pour nouvelle décision statuant sur le droit aux prestations de l'assurée sous l'angle des conditions d'assurance, en tenant compte de la Convention de sécurité sociale entre la Confédération suisse et la République de Macédoine (RS 0.831.109.520.1).</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w:t>
      </w:r>
    </w:p>
    <w:p>
      <w:r>
        <w:t>A/1414/2011 - 25/33 -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Seule une incapacité de gain causée par une atteinte à la santé peut donner droit à des prestations d’invalidité. Les facteurs socioculturels ne font pas partie des atteintes à la santé qui peuvent conduire à une invalidité selon l’art. 4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 ATF non publié 9C_144/2010 du</w:t>
      </w:r>
    </w:p>
    <w:p>
      <w:r>
        <w:rPr>
          <w:b/>
        </w:rPr>
        <w:t>E. 10</w:t>
      </w:r>
    </w:p>
    <w:p>
      <w:r>
        <w:t>Aussi convient-il d'admettre partiellement le recours et de renvoyer la cause à l'OAI pour examen des conditions d'assurance et nouvelle décision sur ce point. L'assurée, qui est représentée, a droit à des dépens qu'il convient de fixer à 2'500 fr. (art. 61 let. g LPGA). La procédure n'étant pas gratuite en matière d’assurance-invalidité, l'OAI supportera l’émolument de 1'000 fr. (art. 69 al. 1bis LAI).</w:t>
      </w:r>
    </w:p>
    <w:p>
      <w:r>
        <w:t>A/1414/2011 - 33/33 -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