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ATAS/705/2023 vom 20. September 2023</w:t>
      </w:r>
    </w:p>
    <w:p>
      <w:r>
        <w:t>GE Cour de justice, 2023-09-20, FR</w:t>
      </w:r>
    </w:p>
    <w:p>
      <w:r>
        <w:rPr>
          <w:b/>
        </w:rPr>
        <w:t xml:space="preserve">Quelle: </w:t>
      </w:r>
      <w:r>
        <w:t>https://mcp.opencaselaw.ch/entscheid/ge_gerichte_ATAS_705_2023</w:t>
      </w:r>
    </w:p>
    <w:p>
      <w:r>
        <w:t>FR: GE_GERICHTE ATAS/705/2023 du 20 septembre 2023</w:t>
      </w:r>
    </w:p>
    <w:p>
      <w:r>
        <w:t>IT: GE_GERICHTE ATAS/705/2023 del 20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une rente d’invalidité.</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w:t>
      </w:r>
    </w:p>
    <w:p>
      <w:r>
        <w:t>A/1387/2021 - 12/21 -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w:t>
      </w:r>
    </w:p>
    <w:p>
      <w:r>
        <w:t>A/1387/2021 - 13/21 -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w:t>
      </w:r>
    </w:p>
    <w:p>
      <w:r>
        <w:t>A/1387/2021 - 14/21 -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w:t>
      </w:r>
    </w:p>
    <w:p>
      <w:r>
        <w:t>A/1387/2021 - 15/21 -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 L'art. 88bis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(2ème phr.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5.4</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A/1387/2021 - 16/21 -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6</w:t>
      </w:r>
    </w:p>
    <w:p>
      <w:r>
        <w:t>A/1387/2021 - 17/21 -</w:t>
      </w:r>
    </w:p>
    <w:p>
      <w:r>
        <w:rPr>
          <w:b/>
        </w:rPr>
        <w:t>E. 6.1</w:t>
      </w:r>
    </w:p>
    <w:p>
      <w:r>
        <w:t>En l’espèce, les parties ne contestent pas la valeur probante de l’expertise judiciaire, laquelle répond aux réquisits permettant de lui reconnaître une pleine valeur probante.</w:t>
      </w:r>
    </w:p>
    <w:p>
      <w:r>
        <w:rPr>
          <w:b/>
        </w:rPr>
        <w:t>E. 6.2.1</w:t>
      </w:r>
    </w:p>
    <w:p>
      <w:r>
        <w:t>La recourante a fait valoir que selon les conclusions de cette expertise, qui concernaient exclusivement les conséquences des atteintes psychiatriques, son incapacité dans l’activité ménagère était de 50% dès juin 2017. Il en ressortait que dès cette date, elle avait droit à une rente entière d’invalidité, sur la base d’un degré d’invalidité de 74.50% (soit 49% dans la sphère professionnelle et 25.50% dans la sphère ménagère) au lieu du trois quarts de rente accordé dans la décision querellée, au moins jusqu’au 31 octobre 2018.</w:t>
      </w:r>
    </w:p>
    <w:p>
      <w:r>
        <w:rPr>
          <w:b/>
        </w:rPr>
        <w:t>E. 6.2.2</w:t>
      </w:r>
    </w:p>
    <w:p>
      <w:r>
        <w:t>Invité à se prononcer sur le rapport d’enquête ménagère du 12 novembre 2019, le Dr J______ a indiqué dans son rapport qu’il lui était difficile de comparer l’appréciation du 12 novembre 2019 avec la situation actuelle, car l’enquête ménagère prenait en compte les atteintes somatiques, ce qu’il ne faisait pas, car cela ne relevait pas de sa compétence. Par ailleurs, il y avait eu une aggravation de l’état psychique de la recourante après l’enquête ménagère. Il estimait pour sa part les limitations de la recourante dans le domaine ménager à 50% (et non à 100% comme pour les activités professionnelles), car les limitations étaient moindres dans le domaine personnel à domicile.</w:t>
      </w:r>
    </w:p>
    <w:p>
      <w:r>
        <w:rPr>
          <w:b/>
        </w:rPr>
        <w:t>E. 6.2.3</w:t>
      </w:r>
    </w:p>
    <w:p>
      <w:r>
        <w:t>Contrairement à ce que soutient la recourante, l’expert judiciaire ne s’est manifestement pas prononcé sur ses empêchements dans le domaine ménager dès juin 2017, soit avant l’aggravation psychique survenue en juin 2020. Cela ressort du fait qu’il a estimé les limitations dans le domaine ménager à 50%, par opposition à l’incapacité de travail totale retenue – depuis juin 2020 – pour les activités professionnelles, au motif que les limitations étaient moindres dans le domaine personnel à domicile. Il en résulte qu’il n’y a pas lieu de calculer le taux d’invalidité de la recourante en retenant une incapacité dans l’activité ménagère de 50% dès juin 2017.</w:t>
      </w:r>
    </w:p>
    <w:p>
      <w:r>
        <w:rPr>
          <w:b/>
        </w:rPr>
        <w:t>E. 6.3.1</w:t>
      </w:r>
    </w:p>
    <w:p>
      <w:r>
        <w:t>La recourante a encore fait valoir que pour la période du 1er novembre 2018 au 31 mai 2020, la question de la capacité de travail et de l’influence des atteintes physiques combinées aux atteintes psychiques dans la sphère ménagère ne pouvait être tranchée sans une expertise somatique.</w:t>
      </w:r>
    </w:p>
    <w:p>
      <w:r>
        <w:rPr>
          <w:b/>
        </w:rPr>
        <w:t>E. 6.3.2</w:t>
      </w:r>
    </w:p>
    <w:p>
      <w:r>
        <w:t>Comme l’a relevé la recourante, l’expert judiciaire a estimé qu’il ne pouvait se prononcer que sur les limitations fonctionnelles qui concernaient le domaine psychique et qu’il n’avait pas la compétence pour apprécier les conclusions des experts somaticiens du SMEX. Cela étant, la chambre de céans a ordonné l’expertise judiciaire psychiatrique au motif que l’avis du SMR du 15 octobre 2020 ne suffisait pas à écarter les doutes</w:t>
      </w:r>
    </w:p>
    <w:p>
      <w:r>
        <w:t>A/1387/2021 - 18/21 - sur la capacité de travail de la recourante suscités par l’échec du stage et le rapport de la Dre E______ du 4 septembre 2020. La chambre a estimé que les conclusions du SMEX sur le plan somatique étaient probantes, relevant que la recourante n’avait pas émis de critiques à leur sujet. Il n’y a donc pas lieu de revenir sur l’évaluation faite par le SMEX jusqu’à l’aggravation de l’état psychique de la recourante dès juin 2020. Les brefs rapports établis par les docteurs K______, spécialiste ORL, le 25 juin 2020 et L______, rhumatologue, le 6 juin 2023, remis à l’expert judiciaire par la recourante et décrits par celui-ci dans son rapport, ne remettent pas non plus sérieusement en cause les conclusions du SMEX. Dans la mesure où l’expert judiciaire retient une incapacité totale de travailler même dans une activité adaptée dès juin 2020, il n’est pas nécessaire de compléter son expertise sur le plan somatique, car les résultats d’une telle instruction complémentaire ne seraient pas susceptibles d’influer l’incapacité de travail totale retenue sur le plan psychiatrique. Les conclusions de l’enquête ménagère sont également probantes jusqu’au 31 mai 2020, date de l’aggravation de l’état psychique de la recourante. Dès juin 2020, il convient de retenir les empêchements retenus par l’expert psychiatre à hauteur de 50%. Il faut toutefois déduire de ce taux l’exigibilité de 31% retenue par l’enquête ménagère pour l’aide au ménage pouvant être attendue du mari et du fils de la recourante, étant précisé qu’il ressort des déclarations de cette dernière à la chambre de céans du 23 mars 2022 que son fils résidait encore à son domicile.</w:t>
      </w:r>
    </w:p>
    <w:p>
      <w:r>
        <w:rPr>
          <w:b/>
        </w:rPr>
        <w:t>E. 6.4</w:t>
      </w:r>
    </w:p>
    <w:p>
      <w:r>
        <w:t>En conclusion, il convient de recalculer le taux d’invalidité de la recourante dès juin 2020, en tenant compte d’une incapacité totale de travail dans l’activité professionnelle et des empêchements pour les travaux ménagers de 19% (50% moins 31%). Le taux d’invalidité est de 49% (49% x 100%) dans la sphère professionnelle et de 9.7% (51% x 19%) dans la sphère ménagère, ce qui correspond à un taux d’activité global de 58.7%, ouvrant le droit à une demi-rente d’invalidité à la recourante, dès le 1er septembre 2020, soit trois mois après l’aggravation de l’état de santé fixé à juin 2020 par l’expert, en application de l’art. 88a RAI. La décision querellée doit être confirmée pour le surplus.</w:t>
      </w:r>
    </w:p>
    <w:p>
      <w:r>
        <w:rPr>
          <w:b/>
        </w:rPr>
        <w:t>E. 7.1</w:t>
      </w:r>
    </w:p>
    <w:p>
      <w:r>
        <w:t>Le recours est ainsi partiellement admis et la décision querellée sera réformée dans le sens précité.</w:t>
      </w:r>
    </w:p>
    <w:p>
      <w:r>
        <w:rPr>
          <w:b/>
        </w:rPr>
        <w:t>E. 7.2</w:t>
      </w:r>
    </w:p>
    <w:p>
      <w:r>
        <w:t>Les frais qui découlent de la mise en œuvre d'une expertise judiciaire peuvent être mis à la charge de l’OAI (cf. ATF 139 V 349 consid. 5.4), si ce dernier a</w:t>
      </w:r>
    </w:p>
    <w:p>
      <w:r>
        <w:t>A/1387/2021 - 19/21 - procédé à une instruction présentant des lacunes ou des insuffisances caractérisées et que l'expertise judiciaire sert à pallier des manquements commis dans la phase d'instruction administrative (ATF 137 V 210 consid. 4.4.2). En l’occurrence, il se justifie de mettre les frais de l’expertise judiciaire à la charge de l’intimé, car elle a dû être ordonnée en raison d’une instruction insuffisante.</w:t>
      </w:r>
    </w:p>
    <w:p>
      <w:r>
        <w:rPr>
          <w:b/>
        </w:rPr>
        <w:t>E. 7.3</w:t>
      </w:r>
    </w:p>
    <w:p>
      <w:r>
        <w:t>La recourante obtenant partiellement gain de cause et étant assistée d’un conseil, elle a droit à des dépens qui seront fixés à CHF 4'000.- (art. 61 let. g LPGA).</w:t>
      </w:r>
    </w:p>
    <w:p>
      <w:r>
        <w:rPr>
          <w:b/>
        </w:rPr>
        <w:t>E. 7.4</w:t>
      </w:r>
    </w:p>
    <w:p>
      <w:r>
        <w:t>Un émolument de CHF 200.- sera mis à la charge de l'intimé (art. 69 al. 1bis LAI).</w:t>
      </w:r>
    </w:p>
    <w:p>
      <w:r>
        <w:t>A/1387/2021 - 20/21 -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