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ATAS/705/2014 vom 11. Juni 2014</w:t>
      </w:r>
    </w:p>
    <w:p>
      <w:r>
        <w:t>GE Cour de justice, 2014-06-11, FR</w:t>
      </w:r>
    </w:p>
    <w:p>
      <w:r>
        <w:rPr>
          <w:b/>
        </w:rPr>
        <w:t xml:space="preserve">Quelle: </w:t>
      </w:r>
      <w:r>
        <w:t>https://mcp.opencaselaw.ch/entscheid/ge_gerichte_ATAS_705_2014</w:t>
      </w:r>
    </w:p>
    <w:p>
      <w:r>
        <w:t>FR: GE_GERICHTE ATAS/705/2014 du 11 juin 2014</w:t>
      </w:r>
    </w:p>
    <w:p>
      <w:r>
        <w:t>IT: GE_GERICHTE ATAS/705/2014 del 11 giugno 2014</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A teneur de l'art. 1 al. 1 LAA, les dispositions de la LPGA s'appliquent à l'assurance-accidents, à moins que la loi n'y déroge expressément.</w:t>
      </w:r>
    </w:p>
    <w:p>
      <w:r>
        <w:rPr>
          <w:b/>
        </w:rPr>
        <w:t>E. 3</w:t>
      </w:r>
    </w:p>
    <w:p>
      <w:r>
        <w:t>Le délai de recours est de 30 jours. Interjeté dans la forme et le délai prévus par la loi, le recours est recevable (art. 56 et 60 al. 1 LPGA ; art. 89B de la loi sur la procédure administrative du 12 septembre 1985 – LPA ; RS/GE E 5 10).</w:t>
      </w:r>
    </w:p>
    <w:p>
      <w:r>
        <w:rPr>
          <w:b/>
        </w:rPr>
        <w:t>E. 4</w:t>
      </w:r>
    </w:p>
    <w:p>
      <w:r>
        <w:t>Le litige porte sur le point de savoir si l’intimée était fondée à mettre fin aux indemnités journalières au 15 avril 2013.</w:t>
      </w:r>
    </w:p>
    <w:p>
      <w:r>
        <w:rPr>
          <w:b/>
        </w:rPr>
        <w:t>E. 5</w:t>
      </w:r>
    </w:p>
    <w:p>
      <w:r>
        <w:t>Selon l'art. 6 al. 1 LAA, les prestations d'assurance sont allouées en cas d'accident professionnel, d'accident non professionnel et de maladie professionnelle. La responsabilité de l’assureur-accidents s’étend, en principe, à toutes les conséquences dommageables qui se trouvent dans un rapport de causalité naturelle</w:t>
      </w:r>
    </w:p>
    <w:p>
      <w:r>
        <w:t>A/2884/2013 - 11/15 - (ATF 119 V 335 consid. 1; ATF 118 V 286 consid. 1b et les références) et adéquate avec l’événement assuré (ATF 125 V 456 consid. 5a et les références).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w:t>
      </w:r>
    </w:p>
    <w:p>
      <w:r>
        <w:rPr>
          <w:b/>
        </w:rPr>
        <w:t>E. 6</w:t>
      </w:r>
    </w:p>
    <w:p>
      <w:r>
        <w:t>L'assuré totalement ou partiellement incapable de travailler au sens de l’art. 6 LPGA à la suite d'un accident a droit à une indemnité journalière (art. 16 al. 1 LAA). Le droit naît le troisième jour qui suit celui de l'accident; il s'éteint dès que l'assuré a recouvré sa pleine capacité de travail, dès qu'une rente est versée ou dès que l'assuré décède (art. 16 al. 2 LAA). Est réputée incapacité de travail toute perte, totale ou partielle, de l'aptitude de l'assuré à accomplir dans sa profession ou son domaine d'activité le travail qui peut raisonnablement être exigé de lui, si cette perte résulte d'une atteinte à la santé physique, mentale ou psychique (art. 6, 1ère phrase, LPGA). La notion d'incapacité de travail est la même dans toutes les branches des assurances sociales: une personne est considérée comme incapable de travailler lorsque, pour cause d'atteinte à la santé physique, mentale ou psychique, elle ne peut plus exercer son activité habituelle ou ne peut l'exercer que d'une manière limitée ou encore seulement avec le risque d'aggraver son état. Elle s'apprécie en principe sur la base de données médicales et en fonction de la profession exercée jusque-là par l'assuré. Toutefois, en cas d'incapacité durable dans l'ancienne profession, l'assuré est tenu, en vertu de son devoir de diminuer le dommage, d'utiliser dans un autre secteur sa capacité fonctionnelle résiduelle (Arrêt du Tribunal fédéral des assurances U 460/05 consid. 3.2 ; FRESARD / MOSER- SZELESS, L'assurance-accidents obligatoires, SBVR, 2ème éd., n. 152 p. 895). Compte tenu de la formulation de l’art. 6 LPGA (utilisation des termes « résulter » en français et « bedingt » en allemand), un lien de causalité entre l’atteinte à la</w:t>
      </w:r>
    </w:p>
    <w:p>
      <w:r>
        <w:t>A/2884/2013 - 12/15 - santé et l’incapacité de travail doit exister (Ueli KIESER, Schweizerisches Sozialversicherungsrecht, 2008, n° 43, p. 164 et ATSG-Kommentar, 2009, n° 6 ad Art. 6).</w:t>
      </w:r>
    </w:p>
    <w:p>
      <w:r>
        <w:rPr>
          <w:b/>
        </w:rPr>
        <w:t>E. 7</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De plus, on rappellera que la jurisprudence n'exige pas obligatoirement la réalisation d'un examen personnel de l'assuré pour admettre la valeur probante d'un</w:t>
      </w:r>
    </w:p>
    <w:p>
      <w:r>
        <w:t>A/2884/2013 - 13/15 - document médical dès lors que le dossier sur lequel se fonde un tel document contient suffisamment d'appréciations médicales établies sur la base d'un examen concret (cf. arrêt du Tribunal fédéral des assurances U 492/00 du 31 juillet 2001, in RAMA 2001 n° U 438 p. 345 consid. 3d).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En l’espèce, il convient de déterminer si le recourant a recouvré sa pleine capacité de travail dans son activité après le 15 avril 2013, nonobstant l’incapacité de travail attestée par le Dr F______. L’intimée considère que tel est le cas, se fondant notamment sur l’appréciation de la Dresse I_____, médecin d’arrondissement, ainsi que sur le rapport relatif à l’IRM du 15 avril 2013. La chambre de céans relève que le rapport de la Dresse I_____ du 10 juillet 2013 intègre un résumé de tous les rapports médicaux antérieurs, de sorte qu’il a été établi en pleine connaissance du dossier. Les conclusions de la Dresse I_____, selon lesquelles le recourant peut, au vu de l’IRM du 15 avril 2013, exercer ses tâches dans un travail administratif et se rendre au travail en transports publics, si nécessaire avec l’aide d’une canne, sont claires et dépourvues de contradictions. Elles sont également motivées, puisqu’elles tiennent compte des limitations fonctionnelles retenues ainsi que d’une évolution favorable de l’atteinte sur le plan objectif, notamment de la disparition pratiquement complète, selon l’IRM du 15 avril 2013, de l’œdème et de la fracture sous-chondrale à la zone portante condylienne fémorale externe. En outre, les limitations fonctionnelles décrites, soit les montées et descentes d’escaliers fréquentes et le port de charges, apparaissent compatibles avec une activité professionnelle de type administratif. Au vu de ce qui précède, ce rapport doit se voir reconnaître pleine valeur probante au sens de la jurisprudence. Le fait que le médecin conseil n’a pas examiné le recourant n’a pas d’incidence sur sa valeur probante, puisqu’il se fonde sur un nombre suffisant d’appréciations médicales consécutives à un tel examen, émanant</w:t>
      </w:r>
    </w:p>
    <w:p>
      <w:r>
        <w:t>A/2884/2013 - 14/15 - notamment des médecins du recourant (arrêt du Tribunal fédéral des assurances U 492/00 du 31 juillet 2001, in RAMA 2001 n° U 438 p. 345 consid. 3d). De surcroît, les conclusions de la Dresse I_____ sont corroborées par celles du Dr G_____, qui a retenu que le recourant pouvait reprendre une activité professionnelle administrative en respectant certaines limitations fonctionnelles dès le 21 février 2013 déjà. Ces conclusions sont également appuyées par les déclarations du recourant du 17 avril 2013, qui a fait état d’une bonne évolution depuis sa rechute, son genou n’étant plus tuméfié sauf en cas de marche prolongée (20 minutes), malgré des douleurs occasionnelles et une limitation de la flexion (cf. rapport du 26 avril 2013 ; procès-verbal d’audition du 17 avril 2013). Les rapports divergents du Dr F______ ne permettent pas de s’écarter des conclusions de la Dresse I_____, dès lors qu’ils sont peu motivés et ne mettent pas en exergue d’élément dont cette dernière n’aurait pas tenu compte. Il sied de rappeler que selon la jurisprudence, l’incapacité de travail doit être appréciée en fonction de la profession exercée jusqu’alors par l'assuré. Or, en l’espèce, le Dr F______ a reconnu avoir apprécié l’incapacité de travail du recourant dans une activité d’électricien, alors que celui-ci travaillait jusqu’à sa rechute comme employé de bureau. Dans une activité adaptée telle qu’une activité de bureau, le médecin n’a pas exclu que le recourant aurait pu reprendre le travail dès février 2013, précisant encore qu’il pouvait conduire (cf. notamment procès- verbal d’enquêtes du 27 novembre 2013 ; rapport du 22 juillet 2013). Par conséquent, les conclusions du Dr F______, qui ne se rapportent pas à l’activité professionnelle réellement exercée, ne peuvent être retenues. Contrairement à ce que soutient le recourant, on relèvera qu’il ne travaillait pas régulièrement comme électricien, ses tâches étant essentiellement de nature administrative, au vu notamment de son contrat de travail et de la description du poste effectuée par son employeur. Compte tenu de ce qui précède, le rapport de la Dresse I_____ du 10 juillet 2013 emporte la conviction de la chambre de céans. Par conséquent, l’intimée était fondée à considérer que le recourant avait recouvré une pleine capacité de travail dans une activité professionnelle adaptée de type administratif après le 15 avril 2013 et, partant, à nier son droit aux indemnités journalières postérieurement à cette date. Pour le surplus, le point de vue de l’employeur quant à l’incapacité de travailler du recourant n’a pas été pris en compte par l’intimée, à l’instar de la chambre de céans, les documents médicaux étant suffisants à cet égard.</w:t>
      </w:r>
    </w:p>
    <w:p>
      <w:r>
        <w:rPr>
          <w:b/>
        </w:rPr>
        <w:t>E. 10</w:t>
      </w:r>
    </w:p>
    <w:p>
      <w:r>
        <w:t>Le recours, mal fondé, doit ainsi être rejeté.</w:t>
      </w:r>
    </w:p>
    <w:p>
      <w:r>
        <w:rPr>
          <w:b/>
        </w:rPr>
        <w:t>E. 11</w:t>
      </w:r>
    </w:p>
    <w:p>
      <w:r>
        <w:t>Le recourant, qui succombe, n’a pas droit à une indemnité de dépens. Pour le surplus, la procédure est gratuite (art. 61 let. a et g LPGA).</w:t>
      </w:r>
    </w:p>
    <w:p>
      <w:r>
        <w:t>A/2884/2013 - 15/15 -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