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ATAS/705/2012 vom 29. Mai 2012</w:t>
      </w:r>
    </w:p>
    <w:p>
      <w:r>
        <w:t>GE Cour de justice, 2012-05-29, FR</w:t>
      </w:r>
    </w:p>
    <w:p>
      <w:r>
        <w:rPr>
          <w:b/>
        </w:rPr>
        <w:t xml:space="preserve">Quelle: </w:t>
      </w:r>
      <w:r>
        <w:t>https://mcp.opencaselaw.ch/entscheid/ge_gerichte_ATAS_705_2012</w:t>
      </w:r>
    </w:p>
    <w:p>
      <w:r>
        <w:t>FR: GE_GERICHTE ATAS/705/2012 du 29 mai 2012</w:t>
      </w:r>
    </w:p>
    <w:p>
      <w:r>
        <w:t>IT: GE_GERICHTE ATAS/705/2012 del 29 maggio 2012</w:t>
      </w:r>
    </w:p>
    <w:p>
      <w:pPr>
        <w:pStyle w:val="Heading2"/>
      </w:pPr>
      <w:r>
        <w:t>Regeste</w:t>
      </w:r>
    </w:p>
    <w:p>
      <w:r>
        <w:t>Résumé: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 que la créance en restitution soit suffisamment déterminée et autorise la prise d'une décision. En l'espèce, la demande de restitution du SPC, celle-ci étant intervenue tant en dehors du délai relatif d'un an que du délai absolu de cinq ans.</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S’agissant des prestations complémentaires cantonales, l’art. 43 LPCC ouvre la même voie de droit. En l’espèce, les recours ont été interjetés dans les forme et délai prévus par la loi, de sorte qu’ils sont recevables.</w:t>
      </w:r>
    </w:p>
    <w:p>
      <w:r>
        <w:rPr>
          <w:b/>
        </w:rPr>
        <w:t>E. 3</w:t>
      </w:r>
    </w:p>
    <w:p>
      <w:r>
        <w:t>Les trois causes ont été jointes en application de l'art. 70 LPA.</w:t>
      </w:r>
    </w:p>
    <w:p>
      <w:r>
        <w:rPr>
          <w:b/>
        </w:rPr>
        <w:t>E. 4</w:t>
      </w:r>
    </w:p>
    <w:p>
      <w:r>
        <w:t>Le litige porte sur la restitution de prestations versées à feue Madame F__________ à hauteur de 10'760 fr., le calcul du droit aux prestations complémentaires pour la période du 1er janvier 2005 au 31 mai 2009 étant contesté, s'agissant de la prise en compte de la valeur d'un immeuble sis sur la commune de Thorens-Glières en France. Il y a à cet égard lieu de préciser que le SPC a expressément admis, à titre de valeur de la parcelle sur laquelle a été construit le chalet, le montant de 1'649 euros.</w:t>
      </w:r>
    </w:p>
    <w:p>
      <w:r>
        <w:t>A/3731/2010 - 9/16 -</w:t>
      </w:r>
    </w:p>
    <w:p>
      <w:r>
        <w:rPr>
          <w:b/>
        </w:rPr>
        <w:t>E. 5</w:t>
      </w:r>
    </w:p>
    <w:p>
      <w:r>
        <w:t>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aLPC et art. 2c let. a aLPC). Aux termes de l'art. 3c al. 1 let. b aLPC (11 al. 1 let. b LPC), les revenus déterminants comprennent, entre autres éléments, le produit de la fortune immobilière. L'article 3c al. 1 let. c aLPC (11 al. 1 let. c LPC) stipule qu'est pris en compte un dixième de la fortune nette pour les rentiers AVS, après déduction de 25'000 pour une personne seule. Si l'immeuble est habité par le bénéficiaire, seule la valeur supérieure à 75'000 fr est prise en compte. Conformément à l'art. 3c al. 1 let. g aLPC (art.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L’art. 17 OPC-AVS/AI pose deux modes d’évaluation de la fortune : la fortune mobilière et les immeubles appartenant et servant d’habitation au requérant ou à une personne comprise dans le calcul de la PC doivent être évalués selon les règles fiscales du canton du domicile (al. 1), alors que les immeubles ne servant pas d’habitation au requérant ou à une personne comprise dans le calcul de la PC doivent être pris en compte à la valeur vénale (al. 4). Cette réglementation</w:t>
      </w:r>
    </w:p>
    <w:p>
      <w:r>
        <w:t>A/3731/2010 - 10/16 - n’outrepasse pas manifestement le cadre de la délégation de compétence accordée au Conseil fédéral (ATF 125 V 69 consid. 3a; VSI 3/1999 p. 86 ss).</w:t>
      </w:r>
    </w:p>
    <w:p>
      <w:r>
        <w:rPr>
          <w:b/>
        </w:rPr>
        <w:t>E. 6</w:t>
      </w:r>
    </w:p>
    <w:p>
      <w:r>
        <w:t>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Selon l’art. 7 LPCC, sont notamment considérés comme fortune de l'intéressé, et évalués conformément à la loi sur l'imposition des personnes physiques (impôt sur la fortune), les immeubles quel que soit le lieu de leur situation (al. 1 let. a). Pour les immeubles ne servant pas d’habitation principale aux intéressés, la valeur à prendre en compte est la valeur vénale (al. 7).</w:t>
      </w:r>
    </w:p>
    <w:p>
      <w:r>
        <w:rPr>
          <w:b/>
        </w:rPr>
        <w:t>E. 7</w:t>
      </w:r>
    </w:p>
    <w:p>
      <w:r>
        <w:t>Depuis le 1er janvier 2003, l’art. 25 al. 1 LPGA indique que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w:t>
      </w:r>
    </w:p>
    <w:p>
      <w:r>
        <w:t>A/3731/2010 - 11/16 - 14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8</w:t>
      </w:r>
    </w:p>
    <w:p>
      <w:r>
        <w:t>L’obligation de restituer les prestations indûment versées à un assuré défunt constitue une dette de la succession et passe, sauf répudiation de la succession, aux héritiers de ce dernier (ATF 96 V 72).</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A cet égard, il importe que les points litigieux importants aient fait l'objet d'une étude fouillée, que le rapport se fonde sur des examens complets, et enfin que les conclusions de l'expert soient bien motivées (ATF 125 V 351 consid. 3).</w:t>
      </w:r>
    </w:p>
    <w:p>
      <w:r>
        <w:t>A/3731/2010 - 12/16 -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Sans remettre en cause le principe de la libre appréciation des preuves, le Tribunal fédéral des assurances (ci-après: TFA) a posé des lignes directrices en ce qui concerne la manière d'apprécier certains types d'expertises. Ainsi, le juge ne s'écarte en principe pas sans motifs impératifs des conclusions d'une expertise judiciaire, la tâche de l'expert étant précisément de mettre ses connaissances spéciales à la disposition de la justice afin de l'éclairer sur les aspects d'un état de fait donné. Selon la jurisprudence, peut constituer une raison de s'écarter d'une expertise judiciaire le fait que celle-ci contient des contradictions.</w:t>
      </w:r>
    </w:p>
    <w:p>
      <w:r>
        <w:rPr>
          <w:b/>
        </w:rPr>
        <w:t>E. 11</w:t>
      </w:r>
    </w:p>
    <w:p>
      <w:r>
        <w:t>a) En vertu de l'art. 25 al. 2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w:t>
      </w:r>
    </w:p>
    <w:p>
      <w:r>
        <w:t>A/3731/2010 - 13/16 -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Aussi dans un arrêt non publié 9C_223/2010, le TF a-t-il, dans un cas où le service des prestations complémentaires avait été informé que le bénéficiaire accomplirait son service militaire et qu'il percevrait des allocations pour perte de gain durant cette période, mais ne connaissait pas la date précise du début du droit aux allocations et le montant de celles-ci, considéré que ce n'est qu'à réception des décisions rendues par la caisse cantonale genevoise de compensation qu'il en avait eu connaissance, de sorte que le délai de péremption ne commençait à courir que dès cette date. c) L'application de cette jurisprudence au cas d'espèce conduit à faire courir le délai d'un an à compter du moment où le SPC a connaissance du montant de la valeur vénale du bien immobilier. Il y a lieu d'observer qu'en l'espèce, le SPC a, dès réception de la déclaration de succession du 1er juin 2006, su que le montant qu'il retenait jusqu'alors pour les biens immobiliers ne correspondait pas à la réalité. Il a, sur la base des chiffres figurant sur cette déclaration, repris le calcul des prestations complémentaires et réclamé par décision du 6 septembre 2006 la restitution des prestations indûment versées. Cette décision a cependant été déclarée nulle par le Tribunal cantonal des assurances sociales, alors compétent. Dans son arrêt du 12 février 2008, ce tribunal a également déclaré que le SPC devait établir la valeur vénale du bien immobilier. Celui-ci s'est alors efforcé de suivre les instructions du tribunal et a interrogé les membres de l'hoirie à réitérées reprises. Il leur a enfin adressé un dernier courrier le</w:t>
      </w:r>
    </w:p>
    <w:p>
      <w:r>
        <w:rPr>
          <w:b/>
        </w:rPr>
        <w:t>E. 14</w:t>
      </w:r>
    </w:p>
    <w:p>
      <w:r>
        <w:t>juillet 2010, attirant expressément leur attention sur la teneur de l'art. 43 al. 3 LPGA relatif à l'obligation de collaborer et leur a, après avoir encore attendu un peu plus de deux mois qu'ils réagissent, notifié une nouvelle décision le 28 septembre 2010. On ne saurait dès lors reprocher au SPC de n'être pas intervenu auprès de ceux-ci pour obtenir tout document portant sur la valeur vénale du bien immobilier. Il convient à cet égard de rappeler que selon la jurisprudence, l'administration doit disposer de tous les éléments nécessaires pour déterminer - quant à son principe et à</w:t>
      </w:r>
    </w:p>
    <w:p>
      <w:r>
        <w:t>A/3731/2010 - 14/16 - son étendue - la créance en restitution à l'encontre de la personne tenue à restitution (ATF 111 V 14 consid. 3). La Cour de céans constate du reste que, lorsqu'il a rendu sa décision du 28 septembre 2010, le SPC n'avait pas réussi à obtenir des membres de l'hoirie les informations utiles pour procéder, conformément au jugement du 12 février 2008, au calcul du montant à restituer. d) Il ne s'est toutefois pas manifesté auprès des recourants entre le 16 décembre 2008 et le 14 juillet 2010. Or, si l'administration ne fournit pas les efforts nécessaires pour se faire une idée exacte de sa créance encore insuffisamment déterminée dans un délai raisonnable, cette omission ne peut pas se répercuter sur l'assuré et être retenue en faveur de l'administration. Dans un tel cas, le début du délai de péremption d'une année doit être fixé au moment où l'administration aurait dû compléter ses connaissances lacunaires avec les efforts pouvant être raisonnablement attendus d'elle, de sorte que la créance en restitution soit suffisamment déterminée et autorise la prise d'une décision (ATF 112 V 180). Il est vrai que selon la doctrine et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113 II 269 consid. 2e et les références). Des considérations du même ordre se déduisent, en droit public, du principe de la bonne foi (ATF 116 Ib 398 consid. 4e et 116 II 431 consid. 2). Le débiteur aura - alors que le délai courait encore - déterminé le créancier à attendre (ATF 113 II 269 consid. 2e précité). L'abus de droit ne consiste pas dans le comportement du débiteur qui incite le créancier à ne pas entreprendre de démarches juridiques, mais dans le fait que le débiteur ayant eu ce comportement se prévale de la prescription (ATF 83 II 93 ss; Alfred Koller, Verjährung von Versicherungsansprüchen, in: Haftpflicht- und Versicherungsrechtstagung 1993, note n° 114 p. 34). Le simple écoulement du temps pendant le délai de prescription ne peut être interprété ni comme une renonciation à la prétention, ni comme son exercice abusif (ATF 110 II 273). Pour admettre un abus de droit, il faut que le comportement du débiteur soit en relation de causalité avec le retard à agir du créancier (Stephen V. Berti, Das Erlöschen der Obligationen, Kommentar zu Art. 127-142 OR, Commentaire zurichois, éd. 2002, no 33 et 34 ad art. 142 CO). Il n'en reste pas moins que lors de pourparlers par exemple, le créancier doit réagir en cas de silence prolongé du débiteur. Selon Karl Spiro (Die Begrenzung privater Rechte durch Verjährungs-, Verwirkungs- und Fatalfristen, tome I Die Verjährung</w:t>
      </w:r>
    </w:p>
    <w:p>
      <w:r>
        <w:t>A/3731/2010 - 15/16 - der Forderungen, Berne 1975, p. 248 ss § 108 et 109, spéc. note n° 18), le temps de réaction dépend des circonstances, mais il ne saurait dépasser le délai de prescription applicable en cas d'interruption de la prescription. e) Il apparaît ainsi, au vu de ce qui précède, que la demande en restitution est prescrite, vu le délai d'un an prévu par l'art. 25 al. 2 LPGA. Le SPC, en notifiant sa décision le 28 septembre 2010, n'a par ailleurs pas non plus respecté le délai de cinq ans. Ce délai commence en effet à courir dès le moment où la prestation a été effectivement versée, et non pas celui où elle aurait dû être payée selon la loi (ATF 127 V 484 consid. 3b/cc). Or, les dernières prestations ont été versées en juillet 2004, de sorte que la demande en restitution est intervenue en dehors du délai de cinq ans. Force en conséquence est de constater qu'elle est prescrite pour ce motif également. Aussi le recours doit-il être admis.</w:t>
      </w:r>
    </w:p>
    <w:p>
      <w:r>
        <w:t>A/3731/2010 - 16/16 -</w:t>
      </w:r>
    </w:p>
    <w:p>
      <w:r>
        <w:t>PAR CES MOTIFS, LA CHAMBRE DES ASSURANCES SOCIALES : Statuant A la forme : 1. Déclare les recours recevables. Au fond : 2. Les admet et annule la décision du 28 septembre 2010.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