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ATAS/704/2022 vom 11. August 2022</w:t>
      </w:r>
    </w:p>
    <w:p>
      <w:r>
        <w:t>GE Cour de justice, 2022-08-11, FR</w:t>
      </w:r>
    </w:p>
    <w:p>
      <w:r>
        <w:rPr>
          <w:b/>
        </w:rPr>
        <w:t xml:space="preserve">Quelle: </w:t>
      </w:r>
      <w:r>
        <w:t>https://mcp.opencaselaw.ch/entscheid/ge_gerichte_ATAS_704_2022</w:t>
      </w:r>
    </w:p>
    <w:p>
      <w:r>
        <w:t>FR: GE_GERICHTE ATAS/704/2022 du 11 août 2022</w:t>
      </w:r>
    </w:p>
    <w:p>
      <w:r>
        <w:t>IT: GE_GERICHTE ATAS/704/2022 del 11 agosto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w:t>
      </w:r>
    </w:p>
    <w:p>
      <w:r>
        <w:t>Le délai de recours est de trente jours (art. 56 LPGA; art. 62 al. 1 de la loi sur la procédure administrative du 12 septembre 1985 [LPA - E 5 10]). Interjeté dans la forme et le délai prévus par la loi, le recours est recevable.</w:t>
      </w:r>
    </w:p>
    <w:p>
      <w:r>
        <w:rPr>
          <w:b/>
        </w:rPr>
        <w:t>E. 5</w:t>
      </w:r>
    </w:p>
    <w:p>
      <w:r>
        <w:t>Le litige porte sur le droit éventuel du recourant à une rente d'invalidité.</w:t>
      </w:r>
    </w:p>
    <w:p>
      <w:r>
        <w:rPr>
          <w:b/>
        </w:rPr>
        <w:t>E. 6</w:t>
      </w:r>
    </w:p>
    <w:p>
      <w:r>
        <w:t>Dans un moyen de nature formelle, qu'il convient d'examiner en premier lieu dès lors que son admission pourrait conduire à l'annulation de la décision attaquée sans examen du litige sur le fond (ATF 124 V 90 consid. 2), le recourant invoque une violation de son droit d’être entendu. Il fait grief à l’intimé d’avoir rendu la décision litigieuse avant même d’avoir examiné ses arguments, le contraignant ainsi à recourir auprès de la Cour de céans. Il rappelle que son courrier</w:t>
      </w:r>
    </w:p>
    <w:p>
      <w:r>
        <w:t>A/1806/2021 - 8/17 - d’opposition du 12 mai 2021 a été envoyé le jour même, soit dans le délai octroyé par l’intimé. 6.1.1 À teneur de l’art. 42 LPGA, les parties ont le droit d’être entendues. Aux termes de l’art. 49 al. 3 LPGA, les décisions indiquent les voies de droit. Elles doivent être motivées si elles ne font pas entièrement droit aux demandes des parties. La notification irrégulière d’une décision ne doit entraîner aucun préjudice pour l’intéressé. 6.1.2 En vertu de l'art. 57a LAI,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(al. 1). Les parties peuvent faire part de leurs observations concernant le préavis dans un délai de 30 jours (al. 3). Selon la circulaire sur la procédure dans l'assurance-invalidité (ch. 6021), dans sa teneur en vigueur depuis le 1er janvier 2021, ce délai de 30 jours ne peut être prolongé. Les objections doivent être soulevées dans ce délai. Dans des cas fondés, un délai supplémentaire unique peut être accordé à l’assuré pour qu’il motive ou corrige ses objections. Par ailleurs, aux termes de l'art. 74 RAI, une fois l'instruction de la demande achevée, l'office AI se prononce sur la demande de prestations (al. 1). La motivation tient compte des observations qui ont été faites par les parties sur le préavis, pour autant qu'elles portent sur des points déterminants (al. 2). 6.1.3 L'autorité commet ainsi une violation du droit de l'assuré à être entendu, lorsqu'elle statue avant l'échéance du délai imparti à l'assuré pour qu'il se détermine sur le projet de décision, en écartant ainsi des moyens déposés en temps utile (arrêts du Tribunal fédéral des assurances I 658/04 du 27 janvier 2006 consid. 5 et I 459/02 du 29 octobre 2002 consid. 4 ; Michel VALTÉRIO, Commentaire de la loi fédérale sur l'assurance-invalidité, 2018, n°8 ad art. 57a LAI). 6.1.4 La violation du droit d’être entendu – pour autant qu’elle ne soit pas d’une gravité particulière – est cependant réparée lorsque la partie lésée a la possibilité de s’exprimer devant une autorité de recours jouissant d’un plein pouvoir d’examen. Au demeurant, la réparation d’un vice éventuel ne doit avoir lieu qu’à titre exceptionnel (ATF 124 V 180 consid. 4a ; arrêt du Tribunal fédéral 9C_181/2013 du 20 août 2013 consid. 3.3). Il faut renoncer à renvoyer l'affaire à l'administration pour qu'elle accorde le droit d'être entendu, dans le sens d'une guérison du vice, même en cas de violation grave du droit d'être entendu, si et dans la mesure où le renvoi constituerait un simple exercice de procédure et conduirait donc à des retards inutiles qui ne seraient pas compatibles avec l'intérêt (assimilé à l'audition) de la partie concernée</w:t>
      </w:r>
    </w:p>
    <w:p>
      <w:r>
        <w:t>A/1806/2021 - 9/17 - à ce que la cause soit tranchée en sa faveur (ATF 132 V 387 consid 5.1 ; ATF 116 V 187 consid. 3d). 6.1.5 En l'espèce, par courriel du 24 février 2021, le recourant a contesté le projet de décision du 12 février 2021 et sollicité la prolongation du délai pour faire valoir ses observations, requête que l'intimé a accueillie favorablement puisqu'il a accordé une prolongation de délai au 19 avril 2021. Ainsi, le courrier recommandé du 19 avril 2021, par lequel le recourant a complété sa contestation, a bien été envoyé en temps utile. Dès lors, en notifiant sa décision le 20 avril 2021, soit avant réception des observations précitées, l'intimé a bel et bien violé le droit d'être entendu de l’intéressé. Le fait que l’art. 57a al. 3 LAI, dans sa teneur depuis le 1er janvier 2021, ne permette plus l’octroi d’une telle prolongation est en l’espèce sans pertinence, dans la mesure où l’intimé l’avait expressément accordée et que le recourant – qui n'était pas encore représenté par un avocat à cette période – s’est fondé sur cette garantie étant rappelé que la bonne foi de l’administré doit être protégée (cf. notamment ATF 131 II 627, consid. 6.1). 6.1.6 Reste à examiner si cette violation peut être réparée dans le cadre de la présente procédure de recours. À cet égard, il sied d’abord de constater que la Cour de céans dispose d'un pouvoir d'examen identique à celui de l'intimé, tant en fait qu’en droit. De plus, les observations non prises en compte par l’intimé n’étaient accompagnées d’aucune pièce. Elles soulevaient pour l’essentiel divers griefs à l’encontre de l’appréciation de la situation médicale par le SMR, griefs qui ont tous été repris, ipso facto, dans l’écriture de recours. Amené à se déterminer à leur égard dans le cadre de son mémoire réponse, l’intimé les a sommairement écartées, estimant que le SMR avait déjà tenu compte de l’ensemble des documents médicaux au dossier dans son avis du 4 février 2021. Force est de constater que, dans ces circonstances, l’annulation de la décision entreprise et le renvoi à l’intimé constituerait un simple exercice de procédure et conduirait à des retards inutiles, faute de pouvoir vraisemblablement faire changer l’intimé de position. Conformément à la jurisprudence, il convient dès lors de considérer que le vice a ainsi été réparé. Il revient donc à la Cour de céans d’examiner, avec un plein pouvoir de cognition, les griefs soulevés tant dans le cadre de l’opposition que du recours.</w:t>
      </w:r>
    </w:p>
    <w:p>
      <w:r>
        <w:rPr>
          <w:b/>
        </w:rPr>
        <w:t>E. 6.2</w:t>
      </w:r>
    </w:p>
    <w:p>
      <w:r>
        <w:t>Dans un second grief de nature formel, le recourant relève que la décision litigieuse n'a pas été adressée à son domicile élu.</w:t>
      </w:r>
    </w:p>
    <w:p>
      <w:r>
        <w:rPr>
          <w:b/>
        </w:rPr>
        <w:t>E. 6.2.1</w:t>
      </w:r>
    </w:p>
    <w:p>
      <w:r>
        <w:t>En vertu de l'art. 37 LPGA, une partie peut, en tout temps, se faire représenter, à moins qu’elle ne doive agir personnellement, ou se faire assister, pour autant que l’urgence d’une enquête ne l’exclue pas (al. 1). L’assureur peut exiger du mandataire qu’il justifie ses pouvoirs par une procuration écrite (al. 2).</w:t>
      </w:r>
    </w:p>
    <w:p>
      <w:r>
        <w:t>A/1806/2021 - 10/17 - Tant que la partie ne révoque pas la procuration, l’assureur adresse ses communications au mandataire (al. 3). La violation, par l'assureur social, de l'art. 37 al. 3 LPGA n'a pas pour effet de rendre sa communication nulle et non avenue. En revanche, l'assuré peut de bonne foi admettre que son représentant a également reçu l'envoi de l'assureur, de sorte qu'il ne peut subir aucun préjudice lorsque celui-ci avait pour effet de faire courir un délai. Ainsi, la notification d'une décision à l'assuré directement, et non à son représentant, empêche l'écoulement du délai de recours, seule la notification au représentant étant déterminante à cet égard (arrêts du Tribunal fédéral 9C_18/2016 du 7 octobre 2016 consid. 5.3.1 et 9C_741/2012 du 12 décembre 2012 consid. 2; ATAS/269/2021 du 29 mars 2021 consid. 4; Anne-Sylvie DUPONT, in Commentaire romand, LPGA, n. 27 ad art. 37 LPGA).</w:t>
      </w:r>
    </w:p>
    <w:p>
      <w:r>
        <w:rPr>
          <w:b/>
        </w:rPr>
        <w:t>E. 6.2.2</w:t>
      </w:r>
    </w:p>
    <w:p>
      <w:r>
        <w:t>En l’occurrence, le recours ayant été déposé dans les 30 jours ayant suivi la notification de la décision directement au recourant, la violation de l’élection de domicile est sans conséquence du point de vue juridique.</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w:t>
      </w:r>
    </w:p>
    <w:p>
      <w:r>
        <w:t>A/1806/2021 - 11/17 - l’assuré (arrêt du Tribunal fédéral des assurances I 654/00 du 9 avril 2001 consid. 1).</w:t>
      </w:r>
    </w:p>
    <w:p>
      <w:r>
        <w:rPr>
          <w:b/>
        </w:rPr>
        <w:t>E. 8</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Il y a interruption notable de l’incapacité de travail au sens de l’art. 28, al. 1, let. b, LAI lorsque l’assuré a été entièrement apte au travail pendant 30 jours consécutifs (art. 29ter RAI).</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t>A/1806/2021 - 12/17 -</w:t>
      </w:r>
    </w:p>
    <w:p>
      <w:r>
        <w:rPr>
          <w:b/>
        </w:rPr>
        <w:t>E. 9.1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4.6).</w:t>
      </w:r>
    </w:p>
    <w:p>
      <w:r>
        <w:rPr>
          <w:b/>
        </w:rPr>
        <w:t>E. 9.2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9.3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w:t>
      </w:r>
    </w:p>
    <w:p>
      <w:r>
        <w:t>A/1806/2021 - 13/17 - 125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Il convient à présent d'examiner le droit du recourant à une rente. Est litigieux le fait de savoir si le recourant a présenté une incapacité de travail d’au moins 40% en moyenne durant une année, sans interruption notable, et s’il était encore invalide, au terme de cette année, à 40% au minimum.</w:t>
      </w:r>
    </w:p>
    <w:p>
      <w:r>
        <w:rPr>
          <w:b/>
        </w:rPr>
        <w:t>E. 12.1</w:t>
      </w:r>
    </w:p>
    <w:p>
      <w:r>
        <w:t>Les parties et l’ensemble des médecins s’accordent sur la date de début de l’incapacité de travail, soit le 30 décembre 2018 et sur le fait que dite incapacité était initialement totale, dans toute activité. Il y a en revanche divergence quant au</w:t>
      </w:r>
    </w:p>
    <w:p>
      <w:r>
        <w:t>A/1806/2021 - 14/17 - taux d’invalidité du recourant un an plus tard, soit le 30 décembre 2019. L'intéressé soutient qu'il était encore dans la totale incapacité d'exercer la moindre activité, alors que l’intimé estime qu’il était apte à exercer à plein temps son activité habituelle, sans perte de rendement, et ce, depuis le 7 décembre 2019.</w:t>
      </w:r>
    </w:p>
    <w:p>
      <w:r>
        <w:rPr>
          <w:b/>
        </w:rPr>
        <w:t>E. 12.2</w:t>
      </w:r>
    </w:p>
    <w:p>
      <w:r>
        <w:t>L’intimé fonde sa position sur l’appréciation du SMR du 4 février 2021, concluant à une capacité de travail entière dans toute activité dès le 7 décembre 2019, les spécialistes consultés ne retenant aucune atteinte à la santé durablement incapacitante au-delà de cette date. Cependant, l’analyse du SMR est lacunaire : le 7 décembre 2019 correspond à la date du rapport du Dr D______ dans lequel ce dernier préconisait une reconversion de son patient. On ne saurait en déduire, comme l'a fait le SMR, qu’au jour de la rédaction dudit rapport, l’intéressé était apte à exercer son activité de trader à plein temps et à plein rendement, d'autant moins que cela va à l'encontre du reste du rapport du néphrologue et des autres éléments médicaux au dossier. En effet, dans son rapport, le Dr D______ qualifie la capacité de travail de son patient de nulle dans l’activité habituelle, au vu des différentes limitations fonctionnelles découlant du traitement immunosuppresseur encore en cours, soit une asthénie, une diminution de la capacité de concentration, des crampes et des tremblements. Le médecin ne se prononce pas sur la capacité de travail dans une activité adaptée. Sous l’angle strictement néphrologique, ce n’est que le 24 août 2020 que la Dresse G______ a indiqué qu’il n’y avait plus ni diagnostic invalidant, ni limitation fonctionnelle. Son rapport n'est d'ailleurs pas exempt de contradictions à cet égard, puisque le médecin précise que son patient n'est en mesure de reprendre une activité qu'à un taux initialement réduit de 50%. Quand bien même les rapports établis par ces deux spécialistes ne sont pas suffisamment détaillés et étayés pour tirer des conclusions définitives quant à la capacité de travail du recourant et son évolution, ils ne peuvent en tout cas pas être interprétés comme la démonstration d'une pleine et entière capacité de travail dans toute activité dès le 7 décembre 2019. L’appréciation du SMR pose également problème sous l’angle psychiatrique. En effet, si la psychiatre traitante atteste, le 9 décembre 2020, que le trouble de l’adaptation avec réaction mixte anxieuse et dépressive dont souffre le recourant n’a pas d’incidence sur sa capacité de travail au jour de l’établissement du rapport, elle ne se prononce pas sur ladite capacité avant cette date et ce, alors même que l'état de son patient a pourtant nécessité une brève hospitalisation à la clinique de la Métairie en mai 2020 et que le médecin précise qu'il s’est amélioré significativement entre le 23 avril 2020 (date du début du suivi) et décembre 2020. Ces éléments donnent à penser que l’état de santé psychique de l'intéressé était moins favorable en début d’année 2020 et peut-être même auparavant, le</w:t>
      </w:r>
    </w:p>
    <w:p>
      <w:r>
        <w:t>A/1806/2021 - 15/17 - généraliste traitant ayant par ailleurs fait mention d’un état anxio-dépressif dans son rapport du 30 juin 2019, puis d’anxiété et de stress psychologique dans son rapport du 19 décembre 2020. Dans ces conditions, on ne saurait conclure qu'en date du 7 décembre 2019 l’état psychique du recourant n’avait aucun impact sur sa capacité de travail. L’intimé se devait d’investiguer plus en avant cette question, notamment en sollicitant des informations complémentaires s'agissant des causes de l’hospitalisation du recourant. Sur le plan endocrinien, le SMR retient là encore l'absence d'atteinte incapacitante dès le 7 décembre 2019. Or, la Dresse J______, dans son rapport du 31 juillet 2020, si elle atteste effectivement de la disparition de toute limitation fonctionnelle suite au traitement chirurgical du 15 juillet 2020 et après une période de récupération post-opératoire de 10 jours, ne se prononce pas sur la capacité de travail du recourant avant cette période. Rien, au dossier, ne permettant de se prononcer sur la capacité de travail du recourant sur le plan endocrinien avant le 25 juillet 2020 (terme du temps de convalescence prescrit), le SMR aurait également dû investiguer cette question.</w:t>
      </w:r>
    </w:p>
    <w:p>
      <w:r>
        <w:rPr>
          <w:b/>
        </w:rPr>
        <w:t>E. 12.3</w:t>
      </w:r>
    </w:p>
    <w:p>
      <w:r>
        <w:t>Pour les raisons énoncées supra, la pleine capacité de travail reconnue au recourant par le SMR à compter du 7 décembre 2019 apparaît douteuse. Elle l'est d'autant plus que le généraliste traitant conclut de manière continue à une totale incapacité de travail dans toute activité depuis décembre 2018 et fait même état d’une aggravation de l’état de santé de son patient entre 2019 et 2021 (cf. ses rapports des 30 juillet, 30 août, 19 décembre 2019, 19 mai et 22 juillet 2021). Ainsi, il a notamment indiqué les 19 mai et 22 juillet 2021 que la santé de son patient avait été « plus impactée » que ce qu’il avait escompté en 2019 : l'assuré souffrait régulièrement de douleurs abdominales importantes résultant de l’éclatement de ses kystes, à raison de trois crises mensuelles le forçant à rester alité durant 24 heures; s'y ajouteraient des douleurs supplémentaires à raison de trois fois par semaine, durant deux heures, avec crises de diarrhée, ainsi qu'une fatigabilité accrue et chronique du fait d’une carence en vitamine D3 ne pouvant être compensée par une supplémentation du fait de l’hypercalcémie persistante, malgré l’intervention sur les glandes parathyroïdiennes. La Cour de céans considère, au vu de tous ces éléments, qu'il subsiste un doute sérieux sur le recouvrement d'une pleine capacité de travail par le recourant dans son activité habituelle à compter du 7 décembre 2019 déjà. Les rapports du médecin traitant et des spécialistes consultés par l’intéressé ne suffisant pas à trancher cette question de manière satisfaisante, des mesures d’instruction supplémentaires se justifient, par exemple sous la forme d'une expertise pluridisciplinaire en néphrologie, endocrinologie et psychiatrie afin de déterminer quelle a été l'évolution de l’état de santé et de la capacité de travail du recourant depuis le 7 décembre 2018.</w:t>
      </w:r>
    </w:p>
    <w:p>
      <w:r>
        <w:t>A/1806/2021 - 16/17 -</w:t>
      </w:r>
    </w:p>
    <w:p>
      <w:r>
        <w:rPr>
          <w:b/>
        </w:rPr>
        <w:t>E. 13</w:t>
      </w:r>
    </w:p>
    <w:p>
      <w:r>
        <w:t>Au vu de ce qui précède, le recours est partiellement admis, la décision sur du 20 avril 2021 annulée et la cause renvoyée à l’intimé pour instruction complémentaire et nouvelle décision.</w:t>
      </w:r>
    </w:p>
    <w:p>
      <w:r>
        <w:rPr>
          <w:b/>
        </w:rPr>
        <w:t>E. 13.1</w:t>
      </w:r>
    </w:p>
    <w:p>
      <w:r>
        <w:t>Le recourant obtenant partiellement gain de cause et étant assisté d’une mandataire, une indemnité de CHF 2’500.- lui sera accordée à titre de participation à ses frais et dépens (art. 61 let. g LPGA; art. 6 du règlement sur les frais, émoluments et indemnités en matière administrative du 30 juillet 1986 [RFPA - E 5 10.03]).</w:t>
      </w:r>
    </w:p>
    <w:p>
      <w:r>
        <w:rPr>
          <w:b/>
        </w:rPr>
        <w:t>E. 13.2</w:t>
      </w:r>
    </w:p>
    <w:p>
      <w:r>
        <w:t>Vu le sort du litige, un émolument de CHF 200.- est mis à la charge de l’intimé (cf. art. 69 al. 1bis LAI).</w:t>
      </w:r>
    </w:p>
    <w:p>
      <w:r>
        <w:t>A/1806/2021 - 17/17 -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