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ATAS/704/2008 vom 16. Juni 2008</w:t>
      </w:r>
    </w:p>
    <w:p>
      <w:r>
        <w:t>GE Cour de justice, 2008-06-16, FR</w:t>
      </w:r>
    </w:p>
    <w:p>
      <w:r>
        <w:rPr>
          <w:b/>
        </w:rPr>
        <w:t xml:space="preserve">Quelle: </w:t>
      </w:r>
      <w:r>
        <w:t>https://mcp.opencaselaw.ch/entscheid/ge_gerichte_ATAS_704_2008</w:t>
      </w:r>
    </w:p>
    <w:p>
      <w:r>
        <w:t>FR: GE_GERICHTE ATAS/704/2008 du 16 juin 2008</w:t>
      </w:r>
    </w:p>
    <w:p>
      <w:r>
        <w:t>IT: GE_GERICHTE ATAS/704/2008 del 16 giugno 2008</w:t>
      </w:r>
    </w:p>
    <w:p>
      <w:pPr>
        <w:pStyle w:val="Heading2"/>
      </w:pPr>
      <w:r>
        <w:t>Erwägungen</w:t>
      </w:r>
    </w:p>
    <w:p>
      <w:r>
        <w:rPr>
          <w:b/>
        </w:rPr>
        <w:t>E. 1</w:t>
      </w:r>
    </w:p>
    <w:p>
      <w:r>
        <w:t>Par arrêt incident du 24 juillet 2007, le Tribunal de céans a déclaré le recours recevable.</w:t>
      </w:r>
    </w:p>
    <w:p>
      <w:r>
        <w:rPr>
          <w:b/>
        </w:rPr>
        <w:t>E. 2</w:t>
      </w:r>
    </w:p>
    <w:p>
      <w:r>
        <w:t>L'objet du litige consiste à examiner le bien-fondé de la suppression de la rente d'invalidité de la recourante.</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w:t>
      </w:r>
    </w:p>
    <w:p>
      <w:r>
        <w:t>A/2548/2007 - 9/14 -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5</w:t>
      </w:r>
    </w:p>
    <w:p>
      <w:r>
        <w:t>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w:t>
      </w:r>
    </w:p>
    <w:p>
      <w:r>
        <w:t>A/2548/2007 - 10/14 - b) Selon l’art. 53 LPGA, les décisions et les décisions sur opposition formellement passées en force sont également soumises à révision si l’assuré ou l’assureur découvre subséquemment des faits nouveaux importants ou trouve des moyens de preuve qui ne pouvaient être produits auparavant (al. 1). L’assureur peut aussi revenir sur les décisions et les décisions sur opposition formellement passées en force lorsqu’elles sont manifestement erronées et que leur rectification revêt une importance notable (al. 2). Ainsi, si les conditions prévues à l'art. 17 LPGA font défaut, la décision de rente peut être éventuellement modifiée d'après les règles applicables à la reconsidération de décisions administratives passées en force. Pour juger s'il est admissible de reconsidérer une décision, pour le motif qu'elle est sans nul doute erronée, il faut se fonder sur la situation juridique existant au moment où la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(ATF 117 V 17 consid. 2c; 115 V 314 consid. 4a/cc). La reconsidération ne doit toutefois pas être un instrument autorisant sans autre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B. du 19 décembre 2002, I 222/02, consid. 3.2, et les références). Une décision est sans nul doute erronée non seulement si elle a été rendue sur la base de normes fausses ou non pertinentes, mais encore lorsque les dispositions pertinentes n'ont pas été appliquées ou qu'elles l'ont été de manière erronée. En règle générale, l'octoi illégal de prestations est réputé sans nul doute erroné (ATF 126 V 401 consid. 2b/bb et les références; DTA 2002 n° 27 consid. 1a p. 181). Cette règle doit toutefois être relativisée quand le motif de reconsidération réside dans les conditions matérielles du droit à la prestation (par exemple l'invalidité selon l'art. 28 LAI), dont la fixation nécessite certaines démarches et éléments d'appréciation (évaluations, appréciations de preuves, question sen rapport avec ce qui peut être raisonnablement exigé de l'assuré). Si, par rapport à la situation de fait et de droit existant au moment de la décision entrée en force d'octroi de la prestation (ATF 125 V 389 s. consid. 3 et les références), le prononcé sur les conditions du droit apparaît soutenable, on ne saurait dans ce cas admettre le caractère sans nul doute erroné de la décision (consid. 3.2 de l'arrêt C. du 2 juillet 2007, 9C_215/2007; consid. 3.2.1 de l'arrêt B. du 7 mai 2007, I 907/06; RAMA 1998 n° K 990 p. 253 consid. 3b; DTA 1982 n° 11 p. 74 s. consid. 2c; RCC 1980 p. 471 consid. 4). Pour autant, cela ne signifie pas que la procédure prévue par la loi</w:t>
      </w:r>
    </w:p>
    <w:p>
      <w:r>
        <w:t>A/2548/2007 - 11/14 - en cas d'évaluation de l'invalidité, soit la mise en œuvre d'une comparaison des revenus puisse dans un cas être remplacée par une évaluation de l'invalidité reposant sur une simple appréciation. Les possibilités d'appréciation restent limitées aux seuls éléments qui concrétisent la notion d'invalidité (arrêts B. du 23 février 2005, précité, A. du 7 décembre 2004, I 410/04, et B. du 19 décembre 2002, I 222/02, ULRICH MEYER-BLASER, Zur Prozentgenauigkeit in der Invaliditätsschätzung, in : Schaffhauser/Schlauri [éd.], Rechtsfragen der Invalidität inder Sozialversicherung, St-Gall 1999, p. 16 s.).</w:t>
      </w:r>
    </w:p>
    <w:p>
      <w:r>
        <w:rPr>
          <w:b/>
        </w:rPr>
        <w:t>E. 6</w:t>
      </w:r>
    </w:p>
    <w:p>
      <w:r>
        <w:t>L'invalidité d'un assuré qui n'exerce pas d'activité lucrative et dont on ne peut raisonnablement exiger qu'il en entreprenne une est évaluée, en dérogation de la méthode ordinaire de comparaison des revenus, en fonction de l'incapacité d'accomplir ses travaux habituels. Par travaux habituels d'une personne travaillant dans le ménage, il faut entendre notamment l'activité usuelle dans le ménage, l'éducation des enfants ainsi que toute activité artistique ou d'utilité publique. C'est la méthode spécifique (jusqu'au 31 décembre 2002: art. 28 al. 3 LAI en corrélation avec l'art. 27 al. 1 et 2 RAI; du 1er janvier au 31 décembre 2003: art. 28 al. 3 LAI en corrélation avec les art. 27 al. 1 et 2 RAI et 8 al. 3 LPGA; depuis le 1er janvier 2004: art. 28 al. 2bis LAI en corrélation avec les art. 27 RAI et 8 al. 3 LPGA; ATFA du 20 avril 2007, I 288/06). 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139 consid. 5.3, 2001 p. 158 consid. 3c; par ex. arrêt D. du 14 janvier 2005 [I 308/04, I 309/04]).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140 consid. 5.3 déjà cité; ATFA du 17 janvier 2006, I 735/04 et I 639/04). Pour satisfaire à l'obligation de réduire le dommage (voir ATF 129 V 463 consid. 4.2, 123 V 233 consid. 3c et les références), une personne qui s'occupe du ménage doit faire ce que l'on peut raisonnablement attendre d'elle afin d'améliorer sa capacité de travail et réduire les effets de l'atteinte à la santé; elle doit en particulier</w:t>
      </w:r>
    </w:p>
    <w:p>
      <w:r>
        <w:t>A/2548/2007 - 12/14 -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 du 14 janvier 2005 [I 308/04 et I 309/04] et S.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ATFA du 17 mars 2005, I 257/04).</w:t>
      </w:r>
    </w:p>
    <w:p>
      <w:r>
        <w:rPr>
          <w:b/>
        </w:rPr>
        <w:t>E. 7</w:t>
      </w:r>
    </w:p>
    <w:p>
      <w:r>
        <w:t>Par arrêt du 24 juillet 2007, devenu définitif à la suite du retrait par l'intimé le 25 octobre 2007 de son recours auprès du Tribunal fédéral, le Tribunal de céans a jugé qu'il n'existait aucun motif de révision, soit aucune amélioration de l'état de santé de la recourante depuis la décision d'octroi de la rente fondée sur un degré d'invalidité ménagère de 50%. Par ailleurs, il a également admis que ni l'appréciation médicale du SMR du 16 janvier 2004 concluant à une incapacité comme ménagère de 50%, ni l'enquête ménagère du 8 septembre 2003, laquelle tenait compte des limitations fonctionnelles confirmées ensuite par le SMR, n'étaient manifestement erronées, même si cette dernière ne prenait effectivement, à tort, pas en compte l'aide des enfants, dès lors que le résultat auquel elle parvenait, soit un degré d'invalidité moyen d'au moins 40%, devait être confirmé. Partant, une décision de reconsidération fondée sur une nouvelle enquête ménagère n'était pas fondée. Il n'y a pas lieu de revenir sur cette appréciation. L'intimé prétend qu'au vu des conclusions de l'enquête ménagère du 8 septembre 2003, il a rendu une décision erronée en tant qu'elle admettait un degré d'invalidité de 50%, alors qu'il avait été établi par ladite enquête à 48,5%. Cependant, l'appréciation de l'intimé ne saurait être qualifiée de manifestement erronée. En effet, l'estimation du degré d'invalidité ménagère fait partie des conditions du droit à la rente au sens de la jurisprudence précitée et, in casu, le prononcé d'une invalidité de 50 %, s'est fondé sur l'appréciation médicale du SMR de janvier 2004, soit postérieure à l'enquête ménagère, laquelle estimait une capacité comme</w:t>
      </w:r>
    </w:p>
    <w:p>
      <w:r>
        <w:t>A/2548/2007 - 13/14 - ménagère de 50 % selon les limitations fonctionnelles de la recourante. Compte tenu du diagnostic psychiatrique, soit le trouble douloureux chronifié, posé par les médecins du SMR en sus des diagnostics somatiques, l'intimé a rendu une décision conforme à la jurisprudence en privilégiant l'estimation médicale plutôt que celle de l'enquête ménagère. Par ailleurs, ce taux de 50 % est proche de celui de 48,5 % auquel avait abouti l'enquête ménagère. Un taux d'invalidité de 50 % apparaissait dès lors à tout le moins soutenable de sorte que l'on ne saurait admettre le caractère sans nul doute erroné de la décision initiale d'octroi d'une demi-rente.</w:t>
      </w:r>
    </w:p>
    <w:p>
      <w:r>
        <w:rPr>
          <w:b/>
        </w:rPr>
        <w:t>E. 8</w:t>
      </w:r>
    </w:p>
    <w:p>
      <w:r>
        <w:t>Dans cette mesure, le recours sera admis et la décision litigieuse annulée.</w:t>
      </w:r>
    </w:p>
    <w:p>
      <w:r>
        <w:rPr>
          <w:b/>
        </w:rPr>
        <w:t>E. 9</w:t>
      </w:r>
    </w:p>
    <w:p>
      <w:r>
        <w:t>Une indemnité de 3'000 fr. sera allouée à la recourante, à charge de l'intimé.</w:t>
      </w:r>
    </w:p>
    <w:p>
      <w:r>
        <w:rPr>
          <w:b/>
        </w:rPr>
        <w:t>E. 10</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500 fr. sera mis à la charge de l'intimé.</w:t>
      </w:r>
    </w:p>
    <w:p>
      <w:r>
        <w:t>A/2548/2007 - 14/14 -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