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ATAS/703/2020 vom 31. August 2020</w:t>
      </w:r>
    </w:p>
    <w:p>
      <w:r>
        <w:t>GE Cour de justice, 2020-08-31, FR</w:t>
      </w:r>
    </w:p>
    <w:p>
      <w:r>
        <w:rPr>
          <w:b/>
        </w:rPr>
        <w:t xml:space="preserve">Quelle: </w:t>
      </w:r>
      <w:r>
        <w:t>https://mcp.opencaselaw.ch/entscheid/ge_gerichte_ATAS_703_2020</w:t>
      </w:r>
    </w:p>
    <w:p>
      <w:r>
        <w:t>FR: GE_GERICHTE ATAS/703/2020 du 31 août 2020</w:t>
      </w:r>
    </w:p>
    <w:p>
      <w:r>
        <w:t>IT: GE_GERICHTE ATAS/703/2020 del 31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ss LPGA).</w:t>
      </w:r>
    </w:p>
    <w:p>
      <w:r>
        <w:rPr>
          <w:b/>
        </w:rPr>
        <w:t>E. 3</w:t>
      </w:r>
    </w:p>
    <w:p>
      <w:r>
        <w:t>Le litige porte sur le droit de la recourante au versement des rentes complémentaires destinées à C______ et D______. Il convient ici de souligner que la décision faisant formellement l’objet du recours est celle que l’intimé a adressée à la recourante, laquelle ne mentionnait pas les rentes complémentaires destinées à C______ et D______. Celle-ci en a justement inféré que dite décision niait son droit à ces rentes complémentaires. À la même date, l’intimé a statué dans une décision séparée et notifiée uniquement à l’appelé en cause sur le droit de ce dernier au versement des rentes complémentaires pour ces enfants. L’intimé a ainsi statué sur le même objet dans deux décisions séparées, adressées à des destinataires différents. Un tel procédé est problématique du point de vue de la sécurité du droit, eu égard aux risques de décisions contradictoires, puisqu’il peut conduire à l’entrée en force d’une seule de ces décisions, alors qu’un recours interjeté contre l’autre décision pourrait conduire à son annulation. Afin d’éviter ce risque, l’intimé devrait dans un tel cas trancher le droit aux rentes complémentaires par une décision unique, notifiée aux deux parents, qui pourraient cas échéant interjeter recours à son encontre.</w:t>
      </w:r>
    </w:p>
    <w:p>
      <w:r>
        <w:rPr>
          <w:b/>
        </w:rPr>
        <w:t>E. 4</w:t>
      </w:r>
    </w:p>
    <w:p>
      <w:r>
        <w:t>Aux termes de l’art. 35 al. 1 LAI, les hommes et les femmes qui peuvent prétendre une rente d’invalidité ont droit à une rente pour chacun des enfants qui, au décès de ces personnes, auraient droit à la rente d’orphelin de l’assurance-vieillesse et survivants (ci-après : AVS).</w:t>
      </w:r>
    </w:p>
    <w:p>
      <w:r>
        <w:t>A/4303/2018 - 9/15 -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 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Eu égard au fait que C______ est devenu majeur au cours de la présente procédure, on précisera encore que la rente complémentaire ne peut pas être versée directement à l'enfant majeur, la jurisprudence ayant retenu un silence qualifié du législateur sur ce point (ATF 134 V 15 consid. 2.3).</w:t>
      </w:r>
    </w:p>
    <w:p>
      <w:r>
        <w:rPr>
          <w:b/>
        </w:rPr>
        <w:t>E. 5</w:t>
      </w:r>
    </w:p>
    <w:p>
      <w:r>
        <w:t>L’art. 276 du Code civil suisse du 10 décembre 1907 (CC - RS 210) dispose au sujet de l’obligation d’entretien des parents que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L'entretien est assuré par les soins et l'éducation ou, si le parent n’a pas la garde, par le versement d'une somme d'argent. La contribution est une forme de participation des deux parents à l'entretien matériel de l'enfant : le parent qui a la garde assume l’entretien direct, alors que le parent non gardien assure l’entretien indirect par une prestation en argent, censée remplacer les soins personnels qu’il ne peut plus prodiguer en nature en raison de la dissolution de la communauté conjugale. Il n’existe pas de base légale pour condamner le parent qui a la garde de l’enfant à une contribution en argent, en sus de sa contribution en nature, qui comprend les prestations fournies personnellement, telles que les achats, la préparation des repas, la garde et les vêtements etc., et les contributions non matérielles en lien avec l’éducation (arrêt du Tribunal fédéral 5A_705/2013 du 29 juillet 2014 consid. 3.2). La notion de parent qui a la garde se réfère dans ce contexte également à la garde partagée. La fourniture de prestations en nature en cas de garde partagée</w:t>
      </w:r>
    </w:p>
    <w:p>
      <w:r>
        <w:t>A/4303/2018 - 10/15 - n’exclut toutefois pas, selon la capacité financière des deux parents, qu’un parent ayant la garde partagée doive verser une contribution pécuniaire à l’autre parent (arrêt du Tribunal fédéral 5A_1017/2014 du 12 mai 2015 consid. 4.4).</w:t>
      </w:r>
    </w:p>
    <w:p>
      <w:r>
        <w:rPr>
          <w:b/>
        </w:rPr>
        <w:t>E. 6</w:t>
      </w:r>
    </w:p>
    <w:p>
      <w:r>
        <w:t>Jusqu’au 31 décembre 2016, l’art. 285 CC disposait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(al. 2bis). L’al. 2bis de cette disposition est entré en vigueur à la suite de la révision du Code civil du 26 juin 1998. Auparavant, le fait pour l'époux séparé ou divorcé du bénéficiaire de la rente de percevoir à la fois des contributions d'entretien et des rentes pour enfants ne constituait pas un cumul illicite de prestations. L'adjonction de l'al. 2bis à l'art. 285 CC a introduit une réglementation plus favorable à l'ayant droit à la rente, débiteur de la contribution d'entretien. Cette amélioration a en premier lieu trait au montant à payer à titre de contribution d'entretien, mais n’a toutefois pas d'influence directe sur le versement des rentes pour enfants au parent non bénéficiaire qui détient l'autorité parentale sur les enfants avec lesquels il vit (arrêt du Tribunal fédéral des assurances I 364/05 du 19 juin 2006 consid. 3.2). L'art. 285 al. 2 CC constitue une règle d'interprétation de la convention ou du jugement : c'est le principe du cumul de la contribution d'entretien et des prestations sociales qui s'applique, à moins que le tribunal n'en ait décidé autrement. Comme ces prestations diminueront d'autant la dépendance de l'enfant par rapport à l'entretien que lui doivent ses père et mère, elles pourront aussi déterminer l'étendue des contributions maternelles et paternelles. Affectées exclusivement à l'entretien de l'enfant, ces prestations ne sont pas prises en compte dans le calcul du revenu du parent qui les reçoit, mais elles sont retranchées du coût d'entretien de l'enfant. Selon la jurisprudence, l'art. 285 al. 2 CC prescrit principalement au tribunal compétent en matière de divorce de déduire préalablement, lors de la fixation de la contribution d'entretien, les prestations d'assurances sociales (arrêt du Tribunal fédéral 5A_746/2008 du 9 avril 2009 consid. 6.1 et les références). Depuis le 1er janvier 2017, les normes ancrées jusqu’alors à l’art. 285 al. 2 et 2bis CC sont reprises à l’art. 285a al. 2 et 3 CC.</w:t>
      </w:r>
    </w:p>
    <w:p>
      <w:r>
        <w:rPr>
          <w:b/>
        </w:rPr>
        <w:t>E. 7</w:t>
      </w:r>
    </w:p>
    <w:p>
      <w:r>
        <w:t>Dans un premier temps, le Conseil fédéral n'a pas fait usage de la délégation de compétence contenue à l’art. 35 al. 4 LAI, dans la mesure où les tribunaux avaient établi des règles concernant le versement des rentes en mains de tiers. La jurisprudence, s'inspirant notamment de l'esprit de la loi et du but visé par la rente pour enfant, admettait en l’absence d’une décision contraire du juge civil que la</w:t>
      </w:r>
    </w:p>
    <w:p>
      <w:r>
        <w:t>A/4303/2018 - 11/15 - rente pour enfant à laquelle avait droit le mari invalide ou au bénéfice d'une rente de vieillesse devait, sur demande, être payée en mains de l'épouse séparée ou divorcée, lorsque cette dernière détenait l'autorité parentale, que l'enfant n'habitait pas avec le père et que l'obligation de celui-ci envers celui-là se limitait au versement d'une contribution aux frais d'entretien. Le Tribunal fédéral a souligné qu’il s’agissait là de cas où la situation de droit était claire et en règle ordinaire stable, et que les principes ainsi posés ne pouvaient être étendus à des situations éminemment labiles et provisoires, où le juge civil pouvait en tout temps prendre les mesures nécessaires à la sauvegarde des intérêts de l'union conjugale (arrêt du Tribunal fédéral des assurances H 120/03 du 15 juillet 2003 consid. 2.1). Au regard de la nouvelle réglementation introduite à l'art. 285 al. 2bis CC, il est apparu opportun au Conseil fédéral de mettre en œuvre la possibilité offerte à l'art. 35 al. 4 LAI et de créer une base réglementaire claire pour le versement des rentes pour enfants en mains de tiers. Il a ainsi édicté l’art. 71ter du règlement sur l'assurance-vieillesse et survivants du 31 octobre 1947 (RAVS - RS 831.101), auquel renvoie l'art. 82 al. 1 du règlement sur l'assurance-invalidité du 17 janvier 1961 (RAI - RS 831.201). L’art. 71ter RAVS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L’exigence selon laquelle l’obligation d’entretien ne devait pas aller au-delà d’une contribution aux frais a été abandonnée avec l’entrée en vigueur de l’art. 71ter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1er janvier 2002 in Pratique VSI 1/2002, p. 16). La règle prévue à l’art. 71ter al. 2 RAVS vise à éviter que lorsque le parent débiteur des contributions d'entretien s'en est effectivement acquitté, les arriérés de la rente pour enfant soient versés à l’enfant. Ceci conduirait en effet à une surindemnisation</w:t>
      </w:r>
    </w:p>
    <w:p>
      <w:r>
        <w:t>A/4303/2018 - 12/15 -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Parmi les conditions d'application de l'art. 71ter al. 1 RAVS, issues de la pratique instaurée avant l'entrée en vigueur de cette disposition, figure l'existence d'une requête émanant du parent qui ne perçoit pas la rente principale et chez qui l'enfant vit (arrêt du Tribunal fédéral 9C_935/2009 du 18 mai 2010 consid. 2.3).</w:t>
      </w:r>
    </w:p>
    <w:p>
      <w:r>
        <w:rPr>
          <w:b/>
        </w:rPr>
        <w:t>E. 8</w:t>
      </w:r>
    </w:p>
    <w:p>
      <w:r>
        <w:t>L’application de la règle prévue à l’art. 285 al. 2bis CC, désormais reprise à l’art. 285a al. 2 CC, suppose qu’une contribution d’entretien ait été fixée par le juge (arrêt du Tribunal fédéral 9C_326/2009 du 20 octobre 2009 consid. 3.4). Dans un cas concernant un assuré séparé de son épouse, dont les enfants vivaient avec cette dernière, et qui avait obtenu une rente octroyée avec effet rétroactif, le Tribunal fédéral a confirmé que l’intégralité des arriérés de rentes destinées à ses enfants devait être versée à son épouse. Il a retenu que dès lors que le juge avait dispensé l’assuré d’une contribution d’entretien au vu de sa situation financière, les pensions que celui-ci avait néanmoins payées à hauteur de CHF 40'706.20 durant la période déterminante ne reposaient pas sur un jugement ou une convention, mais sur une base volontaire, ce qui excluait l’application de l’art. 285a al. 3 CC et de l’art. 71ter al. 2 2ème phr. RAVS. Partant, ces pensions ne pouvaient être déduites des arriérés de rentes complémentaires pour enfant (ATF 145 V 154 consid. 3.2 et 4.3).</w:t>
      </w:r>
    </w:p>
    <w:p>
      <w:r>
        <w:rPr>
          <w:b/>
        </w:rPr>
        <w:t>E. 9</w:t>
      </w:r>
    </w:p>
    <w:p>
      <w:r>
        <w:t>Selon l'art. 22 al. 1 LPGA, le droit aux prestations est incessible; il ne peut être donné en gage. Toute cession ou mise en gage est nulle. Aux termes de l'al. 2ème de cette disposition,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La cession ne peut porter que sur des prestations d'aide sociale versées à titre d'avances. Compte tenu de la nature subsidiaire des prestations d'aide sociale prévues par le droit cantonal, il y a lieu de partir du principe qu'il s'agit là d'avances (Ueli KIESER, Kommentar zum ATSG, 4ème éd. 2020, n. 60 ad art. 22). En l'espèce, les prestations versées par l'hospice relèvent de la loi sur l'insertion et l'aide sociale individuelle du 22 mars 2007 (LIASI - RSG J 4 04). L'art. 9 al. 1 LIASI consacre précisément la subsidiarité des prestations d'aide financière en vertu de cette loi par rapport aux prestations d'assurances sociales fédérales et cantonales.</w:t>
      </w:r>
    </w:p>
    <w:p>
      <w:r>
        <w:t>A/4303/2018 - 13/15 - En outre, l’art. 85bis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l’OAI (al. 1). Sont considérées comme une avance, les prestations librement consenties, que l’assuré s’est engagé à rembourser, pour autant qu’il ait convenu par écrit que l’arriéré serait versé au tiers ayant effectué l’avance (let. a); versées contractuellement ou légalement, pour autant que le droit au remboursement, en cas de paiement d’une rente, puisse être déduit sans équivoque du contrat ou de la loi (let. b) (al. 2). Les arrérages de rente peuvent être versés à l’organisme ayant consenti une avance jusqu’à concurrence, au plus, du montant de celle-ci et pour la période à laquelle se rapportent les rentes (al. 3). On précisera que l'utilisation du formulaire spécial prévu à l'art. 85bis al. 1 RAI est une prescription d'ordre (ATF 136 V 381 consid. 5.2). Ainsi, le tiers qui veut obtenir directement un paiement de prestations rétroactives de l’assurance- invalidité peut établir l'accord du bénéficiaire de celles-ci par un autre moyen que le formulaire ad hoc.</w:t>
      </w:r>
    </w:p>
    <w:p>
      <w:r>
        <w:rPr>
          <w:b/>
        </w:rPr>
        <w:t>E. 10</w:t>
      </w:r>
    </w:p>
    <w:p>
      <w:r>
        <w:t>En l'espèce, il semble que l'hospice ait versé des avances à la recourante, dont on ignore le montant, la période sur laquelle elles portaient et si elles couvraient également C______ et D______. Pour ce motif déjà, la décision de l'intimé doit être annulée et la cause renvoyée pour examen du droit de l'hospice au versement des arriérés, étant souligné que la recourante a consenti sur le principe à un tel remboursement lors de son audition du 30 septembre 2019. Dans l'hypothèse où les arriérés de rentes complémentaires pour C______ et D______ ne devraient pas revenir dans leur intégralité à l'hospice, et s'agissant des rentes courantes, il convient de trancher leur versement comme suit. Il ressort des différentes pièces versées au dossier - notamment des éléments anamnestiques ressortant de l’expertise de la Dresse E______ - et des déclarations des parties que la recourante et l'appelé en cause se sont partagé la garde de D______ jusqu'en mai 2018, et que cet enfant a dès cette date vécu exclusivement chez son père. Quant à C______, il a vécu à plein temps chez son père jusqu'en septembre 2017, date dès laquelle il a résidé à plein temps chez sa mère. La chambre de céans ne retiendra pas sur ce point la date d’octobre 2017 avancée par l’appelé en cause dans son écriture de novembre 2019, dès lors qu’elle est contredite par l’attestation établie par ses soins en octobre 2017 et par plusieurs</w:t>
      </w:r>
    </w:p>
    <w:p>
      <w:r>
        <w:t>A/4303/2018 - 14/15 - éléments du dossier corroborant le changement de résidence de C______ en septembre 2017 déjà. Dès lors que la garde de D______ était partagée jusqu'à fin avril 2018, à défaut d'une décision du juge civil sur l'attribution de la rente, la rente complémentaire concernant cet enfant doit revenir à la recourante pour cette période. En effet, en cas de garde partagée à 50 % chez chacun des parents, à défaut de décision contraire du juge civil, on doit admettre comme règle générale que la rente complémentaire pour enfant sert au parent rentier à assumer les coûts de l’entretien en nature qu’il prodigue à l'enfant. Il faut souligner que même dans l'hypothèse où le juge civil déciderait d'une attribution partielle du montant de la rente complémentaire au parent non rentier en cas de garde partagée, cela ne signifie pas encore que cette répartition incombe à la caisse de compensation en charge du versement de la rente (arrêt 605 2018 325 du 26 août 2019 de la 1ère Cour des assurances sociales du Tribunal cantonal de Fribourg consid. 4.1). En revanche, dès mai 2018, les rentes complémentaires destinées à D______ doivent être versées à l'appelé en cause, puisqu'il en a seul la garde, et qu'aucune contribution d'entretien n’est due par la recourante pour cet enfant en vertu d'une convention ou d'une décision du juge civil. L’éventuel placement de D______ dans un internat n’est pas de nature à modifier ce point. D’une part, le séjour en internat la semaine n’a en principe pas pour effet de transférer la garde. En outre, ce changement serait en toute hypothèse postérieur à la décision litigieuse, et n’a ainsi pas à être pris en compte dans l’examen de sa légalité (arrêt du Tribunal fédéral 9C_805/2011 du</w:t>
      </w:r>
    </w:p>
    <w:p>
      <w:r>
        <w:rPr>
          <w:b/>
        </w:rPr>
        <w:t>E. 15</w:t>
      </w:r>
    </w:p>
    <w:p>
      <w:r>
        <w:t>mai 2012 consid. 2.2). En ce qui concerne C______, les rentes complémentaires jusqu'à fin août 2017 doivent revenir à l'appelé en cause, puisqu’il a jusque-là eu la garde de cet enfant. Dès septembre 2017, c'est à la recourante qu'elles doivent être versées, C______ résidant chez elle à 100 %. La cause doit ainsi être renvoyée à l'intimé pour qu'il tranche le droit de l'hospice au versement des rentes complémentaires arriérées et rende une décision conforme aux considérants qui précèdent s’agissant du solde éventuel de l’arriéré et des rentes courantes destinées à C______ et D______. 11. Le recours est partiellement admis. Le litige ne portant pas sur l'octroi ou le refus de prestations, la procédure est gratuite (art. 69 al. 1bis LAI a contrario). La recourante n'étant pas représentée, elle n'a pas droit à des dépens (art. 61 let. g LPGA).</w:t>
      </w:r>
    </w:p>
    <w:p>
      <w:r>
        <w:t>A/4303/2018 - 15/15 -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