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ATAS/702/2023 vom 21. September 2023</w:t>
      </w:r>
    </w:p>
    <w:p>
      <w:r>
        <w:t>GE Cour de justice, 2023-09-21, FR</w:t>
      </w:r>
    </w:p>
    <w:p>
      <w:r>
        <w:rPr>
          <w:b/>
        </w:rPr>
        <w:t xml:space="preserve">Quelle: </w:t>
      </w:r>
      <w:r>
        <w:t>https://mcp.opencaselaw.ch/entscheid/ge_gerichte_ATAS_702_2023</w:t>
      </w:r>
    </w:p>
    <w:p>
      <w:r>
        <w:t>FR: GE_GERICHTE ATAS/702/2023 du 21 septembre 2023</w:t>
      </w:r>
    </w:p>
    <w:p>
      <w:r>
        <w:t>IT: GE_GERICHTE ATAS/702/2023 del 21 settembre 2023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A/1949/2023 ATAS/702/2023 COUR DE JUSTICE Chambre des assurances sociales Arrêt du 21 septembre 2023 Chambre 4</w:t>
      </w:r>
    </w:p>
    <w:p>
      <w:r>
        <w:t>En la cause A______ représenté par Me Guillaume ETIER, avocat</w:t>
      </w:r>
    </w:p>
    <w:p>
      <w:r>
        <w:t>recourant</w:t>
      </w:r>
    </w:p>
    <w:p>
      <w:r>
        <w:t>contre SUVA CAISSE NATIONALE SUISSE D'ASSURANCE EN CAS D'ACCIDENTS</w:t>
      </w:r>
    </w:p>
    <w:p>
      <w:r>
        <w:t>intimée</w:t>
      </w:r>
    </w:p>
    <w:p>
      <w:r>
        <w:t>A/1949/2023 - 2/2 - Vu la décision sur opposition du 9 mai 2023 de la SUVA caisse nationale suisse d’assurance en cas d’accidents (ci-après : l’intimée) ; Vu le recours interjeté le 9 juin 2023 par Monsieur A______ (ci-après : le recourant), par l’intermédiaire de son conseil ; Vu la réponse de l’intimée du 19 juin 2023 ; Attendu que par courrier du 20 septembre 2023, le recourant a indiqué qu’il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