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ATAS/702/2019 vom 13. August 2019</w:t>
      </w:r>
    </w:p>
    <w:p>
      <w:r>
        <w:t>GE Cour de justice, 2019-08-13, FR</w:t>
      </w:r>
    </w:p>
    <w:p>
      <w:r>
        <w:rPr>
          <w:b/>
        </w:rPr>
        <w:t xml:space="preserve">Quelle: </w:t>
      </w:r>
      <w:r>
        <w:t>https://mcp.opencaselaw.ch/entscheid/ge_gerichte_ATAS_702_2019</w:t>
      </w:r>
    </w:p>
    <w:p>
      <w:r>
        <w:t>FR: GE_GERICHTE ATAS/702/2019 du 13 août 2019</w:t>
      </w:r>
    </w:p>
    <w:p>
      <w:r>
        <w:t>IT: GE_GERICHTE ATAS/702/2019 del 13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A/1357/2019 - 7/16 -</w:t>
      </w:r>
    </w:p>
    <w:p>
      <w:r>
        <w:rPr>
          <w:b/>
        </w:rPr>
        <w:t>E. 4</w:t>
      </w:r>
    </w:p>
    <w:p>
      <w:r>
        <w:t>Le litige porte sur le droit du recourant à une rente d’invalidité, plus particulièrement sur sa capacité de travail dans une activité adaptée, sur le calcul du taux d’invalidité et sur la nécessité d’ordonner une enquête ménagère.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7</w:t>
      </w:r>
    </w:p>
    <w:p>
      <w:r>
        <w:t>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travaillaient dans le ménage avant d'être atteints dans leur santé physique dont il ne peut être exigé qu'ils exercent une activité lucrative (art. 28a al. 2 LAI), le degré d'invalidité se détermine, en règle générale, au moyen d'une enquête économique sur place, alors que l'incapacité de travail correspond à la diminution - attestée médicalement - du rendement fonctionnel dans l'accomplissement des travaux habituels (ATF 130 V 97). L’art. 27 du règlement sur l'assurance-invalidité (RAI - RS 831.201), dans sa version en vigueur jusqu’au</w:t>
      </w:r>
    </w:p>
    <w:p>
      <w:r>
        <w:t>A/1357/2019 - 8/16 - 31 décembre 2017, dispose que par travaux habituels, il faut notamment entendre l'activité usuelle dans le ménage, l'éducation des enfants ainsi que toute activité artistique ou d'utilité publique (ATF 137 V 334 consid. 3.1.2). Pour évaluer l'invalidité des assurés travaillant dans le ménage, l'administration procède à une enquête sur les activités ménagères au domicile de la personne et fixe l'empêchement dans chacune des activités habituelles conformément aux chiffres 3087 et ss. de la circulaire concernant l'invalidité et l'impotence de l'assurance- invalidité (office fédéral des assurances sociales, CIIAI, état au 1er janvier 2016). Aux conditions posées par la jurisprudence, un tel rapport d’enquête a valeur probante :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c. Selon le droit en vigueur jusqu’au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A/1357/2019 - 10/16 -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a.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 avec l'autre, la différence permettant de calculer le taux d'invalidité (méthode</w:t>
      </w:r>
    </w:p>
    <w:p>
      <w:r>
        <w:t>A/1357/2019 - 11/16 -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A/1357/2019 - 12/16 -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l’intimé a retenu comme diagnostic principal ayant un effet sur la capacité de travail du recourant des lombalgies chroniques sur troubles statiques et dégénératifs du rachis lombaire avec déséquilibre sagittal persistant, et, comme pathologie associée du ressort de l’AI, une aérophagie gastrique après cure de hernie hiatale. Il a retenu une incapacité de travail totale dans l’activité habituelle à compter du 1er mars 2016, et une capacité de travail entière dans une activité adaptée à compter du 19 décembre 2016. Citant les différents rapports médicaux figurant au dossier, le SMR en conclut qu’il serait médicalement justifié de reconnaître une incapacité de travail totale dans l’activité habituelle depuis le 1er mars 2016, et une capacité de travail de 100 % dans une activité adaptée épargnant le rachis lombaire et ne requérant pas de communication publique et orale soutenue. De son côté, le recourant conteste qu’il aurait une capacité de travail totale dans une activité adaptée, et s’étonne que l’intimé n’ait pas considéré que l’AVC occipital ischémique avec trou dans le champ de vision et les embolies pulmonaires à répétition étaient des diagnostics ayant un effet sur sa capacité de travail. Le recourant reproche ainsi à l’intimé d’avoir procédé à une instruction lacunaire du dossier, en se limitant à requérir un avis de son SMR et en n’ayant ordonné aucune expertise. Il reproche par ailleurs au rapport du SMR de ne pas se baser sur un examen complet de la situation et de ne pas être assez motivé. La chambre de céans constate que dans son avis du 17 mai 2018, le SMR se contente de relever que « contrairement à l’avis des neurochirurgiens », le médecin traitant avait jugé les douleurs lombaires du recourant totalement incapacitantes dans tout activité. Or, il ressort du dossier que de tous les médecins consultés, seul le Dr H______ s’est prononcé sur la capacité résiduelle du recourant dans une activité adaptée,</w:t>
      </w:r>
    </w:p>
    <w:p>
      <w:r>
        <w:t>A/1357/2019 - 13/16 - qu’il a estimée nulle. Aucun des spécialistes en neurochirurgie consultés ne s’est réellement déterminé sur la question : en décembre 2016, soit trois mois après l’intervention chirurgicale subie par le recourant, le Dr C______ a simplement retenu qu’il conviendrait d’exiger une réadaptation professionnelle avec des limitations de charges au niveau lombaire, sans en dire plus sur la capacité de travail résiduelle du recourant dans une activité adaptée. Le 31 janvier 2018, les Drs I______ et J______ ont relevé qu’à plus d’un an et demi de la chirurgie, l’évolution était partiellement favorable, mais que des nouvelles douleurs pouvaient être suggestives d’une maladie de segment sous-jacent, et qu’il convenait donc de compléter le bilan par une nouvelle IRM lombaire. Par ailleurs, le SMR n’a pas pris en considération les autres causes d’incapacité de travail du recourant, telles que sa maladie thromboembolique récidivante, ses embolies pulmonaires ou encore le reflux gastro-œsophagien pour lequel il a été opéré à deux reprises. Le SMR les a catalogués dans la rubrique « diagnostics associés non du ressort de l’AI », sans le justifier. Pourtant, dans son rapport du 28 mars 2018, le Dr F______, chirurgien viscéral, a considéré qu’aucune heure de travail n’était actuellement envisageable, que ce soit dans l’activité exercée jusqu’ici ou dans une activité tenant compte de ses atteintes à la santé (à savoir les douleurs lombaires, la récidive de lombalgie, l’embolie pulmonaire récidivante et l’aérophagie gastrique permanente), mais qu’une réadaptation restait possible si le traitement était efficace. Dans son rapport du 22 janvier 2018, le Dr H______, médecin traitant, a retenu plusieurs causes à l’incapacité de travail du recourant, à savoir un AVC occipital ischémique en 2016 avec trou dans le champ visuel, une spondylodèse L2-L5 en 2016 avec lombalgies chroniques, des embolies à répétition asymptomatiques et une hernie para-œsophagienne. Au vu de ce qui précède, le SMR n’était pas fondé à considérer que le recourant avait une capacité de travail entière dans une activité adaptée, ce d’autant plus que les derniers spécialistes qui se sont prononcés ont indiqué qu’il convenait d’effectuer de nouvelles investigations d’ordre médical. Ainsi, l’on ne peut considérer, comme le soutient l’intimé, qu’aucun élément objectif médical ne permettrait de remettre en cause les conclusions du SMR. Il ressort au contraire du dossier que la décision contestée repose sur une instruction insuffisante pour permettre à la chambre de céans de trancher le litige, même sous l’angle de la vraisemblance prépondérante. L’instruction étant lacunaire, l'étendue concrète de la capacité de travail du recourant dans une activité adaptée ne peut pas être déterminée sans recourir à une expertise médicale. Au vu des différentes affections dont souffre le recourant, seule une expertise pluridisciplinaire complète et satisfaisant aux réquisits jurisprudentiels topiques (ATF 125 V 351 consid. 3 ; arrêt du Tribunal fédéral des assurances I 731/02 du 25 juillet 2003 consid. 2) permettra de déterminer</w:t>
      </w:r>
    </w:p>
    <w:p>
      <w:r>
        <w:t>A/1357/2019 - 14/16 - clairement l’éventuelle capacité de travail résiduelle du recourant dans une activité adaptée.</w:t>
      </w:r>
    </w:p>
    <w:p>
      <w:r>
        <w:rPr>
          <w:b/>
        </w:rPr>
        <w:t>E. 13</w:t>
      </w:r>
    </w:p>
    <w:p>
      <w:r>
        <w:t>Partant, le recours est partiellement admis, la décision du 7 mars 2019 annulée et la cause renvoyée à l’intimé pour qu’il complète l’instruction, puis rende une nouvelle décision. Il incombera à l’intimé de mettre en œuvre une expertise médicale pluridisciplinaire indépendante, conformément à l’art. 44 LPGA, permettant d’apprécier l’incidence des différents diagnostics retenus par les médecins (à savoir les lombalgies chroniques sur troubles statiques et dégénératifs du rachis lombaire avec déséquilibre sagittal persistant, l’aérophagie gastrique après cure de hernie hiatale, la maladie thromboembolique récidivante, les embolies pulmonaires, l’AVC occipital ischémique gauche avec trou dans le champ visuel et le reflux gastro- œsophagien) sur la capacité de travail du recourant dans une activité adaptée. Il conviendra en particulier que les experts, en motivant dûment leur appréciation, se prononcent sur les diagnostics et limitations fonctionnelles dont souffre le recourant, qu’ils déterminent quel rôle joue chacun d’entre eux sur sa capacité de travail dans une activité adaptée et à quel taux celle-ci pourrait être évaluée.</w:t>
      </w:r>
    </w:p>
    <w:p>
      <w:r>
        <w:rPr>
          <w:b/>
        </w:rPr>
        <w:t>E. 14</w:t>
      </w:r>
    </w:p>
    <w:p>
      <w:r>
        <w:t>Il n’est pas contesté que le statut du recourant est mixte : l’intimé a indiqué, dans la motivation de sa décision, que le statut retenu était celui d’une personne se consacrant à 82,5 % à son activité habituelle et, pour les 17,5 % restants, à l’accomplissement de ses travaux habituels dans le ménage. L’intimé n’a cependant pas diligenté d’enquête ménagère : il soutient que les limitations fonctionnelles retenues n’empêcheraient pas le recourant d’effectuer les tâches ménagères, à son rythme, et que, compte tenu de la proportion entre l’activité lucrative et les travaux habituels, même dans le cas d’un empêchement dans les activités ménagères, l’invalidité n’atteindrait pas le taux requis par la loi, de sorte qu’il n’y avait pas lieu de mettre en œuvre une enquête sur l’activité usuelle dans le ménage. Or, conformément à la jurisprudence susmentionnée, il convient de calculer le degré d'invalidité total d'après le handicap dont l'assuré est affecté dans l'activité lucrative et dans l'accomplissement des autres travaux habituels. En l’espèce, dans la mesure où le ménage est une activité physique, on peut imaginer qu’au vu de son état de santé, le recourant subisse un empêchement conséquent dans cette activité. L’intimé ne pouvait donc se dispenser d’effectuer une enquête ménagère, celle-ci ayant justement pour but de déterminer le degré d’invalidité dans l’accomplissement des travaux habituels. Une fois l’instruction médicale terminée, l’intimé devra dès lors également procéder à une enquête sur les activités ménagères au domicile du recourant, et fixer l'empêchement dans chacune des activités habituelles conformément aux chiffres 3087 et ss de la CIIAI susmentionnée. Cette enquête devra remplir les conditions posées par la jurisprudence (ATF 128 V 93 consid. 4).</w:t>
      </w:r>
    </w:p>
    <w:p>
      <w:r>
        <w:t>A/1357/2019 - 15/16 -</w:t>
      </w:r>
    </w:p>
    <w:p>
      <w:r>
        <w:rPr>
          <w:b/>
        </w:rPr>
        <w:t>E. 15</w:t>
      </w:r>
    </w:p>
    <w:p>
      <w:r>
        <w:t>Le recourant conteste enfin les bases de calcul retenues par l’intimé pour déterminer son taux d’invalidité : il soutient que depuis le 1er janvier 2018, seul le revenu sans invalidité devrait être extrapolé à 100 %, et non le revenu d’invalide, qui devrait dans son cas être ramené à un taux de 82,5 % (correspondant à son taux d’activité avant la survenue de son invalidité). Or, il ressort de la jurisprudence susmentionnée que depuis la modification de l’art. 27bis al. 2 et 3 RAI, entrée en vigueur le 1er janvier 2018, le revenu sans invalidité est effectivement extrapolé pour la même activité lucrative exercée à plein temps, mais que la détermination du revenu d’invalide est, quant à elle, inchangée. Elle correspond ainsi au revenu que l’assuré pourrait retirer dans une activité adaptée, au taux que l’on pourrait exiger de ce dernier selon les conclusions des médecins et des experts. En l’espèce, ce taux pourrait être de 100 %, comme l’a retenu l’intimé dans la décision querellée, uniquement s’il ressort de l’expertise médicale – que celui-ci devra mettre sur pied – que la capacité de travail du recourant dans une activité adaptée est effectivement de 100 %. Ce point ne peut être tranché en l’état. Une fois la perte de gain déterminée, celle-ci, exprimée en pourcentage, sera pondérée au moyen du taux d’occupation auquel le recourant travaillait, ce qui permettra de déterminer son taux d’invalidité en lien avec l’activité lucrative.</w:t>
      </w:r>
    </w:p>
    <w:p>
      <w:r>
        <w:rPr>
          <w:b/>
        </w:rPr>
        <w:t>E. 16</w:t>
      </w:r>
    </w:p>
    <w:p>
      <w:r>
        <w:t>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 art. 89 H LPA).</w:t>
      </w:r>
    </w:p>
    <w:p>
      <w:r>
        <w:rPr>
          <w:b/>
        </w:rPr>
        <w:t>E. 17</w:t>
      </w:r>
    </w:p>
    <w:p>
      <w:r>
        <w:t>Étant donné que, depuis le 1er juillet 2006, la procédure n'est plus gratuite (art. 69 al. 1bis LAI), au vu du sort du recours, il y a lieu de condamner l'intimé au paiement d'un émolument de CHF 200.-.</w:t>
      </w:r>
    </w:p>
    <w:p>
      <w:r>
        <w:t>A/1357/2019 - 16/16 -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