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ATAS/702/2015 vom 21. September 2015</w:t>
      </w:r>
    </w:p>
    <w:p>
      <w:r>
        <w:t>GE Cour de justice, 2015-09-21, FR</w:t>
      </w:r>
    </w:p>
    <w:p>
      <w:r>
        <w:rPr>
          <w:b/>
        </w:rPr>
        <w:t xml:space="preserve">Quelle: </w:t>
      </w:r>
      <w:r>
        <w:t>https://mcp.opencaselaw.ch/entscheid/ge_gerichte_ATAS_702_2015</w:t>
      </w:r>
    </w:p>
    <w:p>
      <w:r>
        <w:t>FR: GE_GERICHTE ATAS/702/2015 du 21 septembre 2015</w:t>
      </w:r>
    </w:p>
    <w:p>
      <w:r>
        <w:t>IT: GE_GERICHTE ATAS/702/2015 del 21 settembre 2015</w:t>
      </w:r>
    </w:p>
    <w:p>
      <w:pPr>
        <w:pStyle w:val="Heading2"/>
      </w:pPr>
      <w:r>
        <w:t>Erwägungen</w:t>
      </w:r>
    </w:p>
    <w:p>
      <w:r>
        <w:rPr>
          <w:b/>
        </w:rPr>
        <w:t>E. 23</w:t>
      </w:r>
    </w:p>
    <w:p>
      <w:r>
        <w:t>Le 21 août 2015, l’intimée a dupliqué et maintenu ses précédentes conclusions. Elle s’est référée à une appréciation du médecin d’arrondissement de la Suva et affirmé que ce dernier avait, lui aussi, relevé une évidente instabilité chronique de l’épaule droite, estimé que l’intervention avait servi à réparer cette instabilité, et fixé le statu quo à trois mois post-traumatiques (suite à l’événement de juillet 2009). L’intimée a ajouté qu’il ressortait du protocole d’audition de la Suva du 27 mai 2015 que l’épaule droite du recourant se déboîtait à la « moindre occasion », celui-ci ayant</w:t>
      </w:r>
    </w:p>
    <w:p>
      <w:r>
        <w:t>A/1233/2015 - 8/18 - notamment relaté s’être luxé l’épaule en 2006 en passant la serpillère et en 2007 en levant les bras en l’air. L’intimée a transmis à la chambre de céans une appréciation du 14 août 2015 du Dr H______, lequel confirmait ses avis antérieurs après avoir pris connaissance du rapport du médecin d’arrondissement de la Suva du 2 juillet 2015.</w:t>
      </w:r>
    </w:p>
    <w:p>
      <w:r>
        <w:rPr>
          <w:b/>
        </w:rPr>
        <w:t>E. 24</w:t>
      </w:r>
    </w:p>
    <w:p>
      <w:r>
        <w:t>Sur demande de la chambre de céans, l’intimée lui a communiqué, par pli du</w:t>
      </w:r>
    </w:p>
    <w:p>
      <w:r>
        <w:rPr>
          <w:b/>
        </w:rPr>
        <w:t>E. 27</w:t>
      </w:r>
    </w:p>
    <w:p>
      <w:r>
        <w:t>août 2015, le protocole d’audition de la Suva du 27 mai 2015 ainsi que le rapport du médecin d’arrondissement de cet assureur établi le 2 juillet 2015. 25. Copie de ces documents ont été transmis au recourant le 31 août 2015. 26. En date du 3 septembre 2015, la chambre de céans a reçu un courrier du recourant, lequel a notamment relevé que « la nouvelle pièce produite » ne lui avait jamais été communiquée par la Suva et qu’il n’avait pas accepté qu’elle soit directement transmise à l’intimée, qui plus est en dehors de la présente procédure. Concernant les instabilités antérieures à 2009, il a rappelé qu’il s’agissait de subluxations sans réduction médicale. EN DROIT 1. Conformément à l'art. 134 al. 1 let. a ch. 5 de la loi sur l'organisation judiciaire, du 26 septembre 2010 (LOJ – RS/GE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Selon l’art. 58 al. 1 LPGA, le Tribunal des assurances compétent est celui du canton de domicile de l’assuré ou d’une autre partie au moment du dépôt du recours. Etant rappelé que le recourant a interjeté son recours le 16 avril 2015 et qu’il a quitté son domicile genevois en juin 2015, la compétence de la chambre de céans pour juger du cas d’espèce est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Compte tenu de la suspension des délais du 7ème jour avant Pâques au 7ème jour après Pâques inclusivement (art. 38 al. 4 let. a LPGA), le recours du 16 avril 2015 contre la décision du 2 mars 2015, interjeté dans la forme prévue par la loi, est recevable</w:t>
      </w:r>
    </w:p>
    <w:p>
      <w:r>
        <w:t>A/1233/2015 - 9/18 - (art. 56 et 60 LPGA ; art. 89B de la loi sur la procédure administrative du 12 septembre 1985 – LPA; RS/GE E 5 10). 4. Le litige porte sur le point de savoir si l’intimée était fondée à mettre fin à ses prestations au 6 octobre 2013, motif pris que le statu quo sine était alors atteint, et à refuser la prise en charge de l’intervention du 20 décembre 2013, faute de rapport de causalité avec l’accident survenu le 6 juillet 2013.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w:t>
      </w:r>
    </w:p>
    <w:p>
      <w:r>
        <w:t>A/1233/2015 - 10/18 -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En principe, on examinera si l’atteinte à la santé est encore imputable à l’accident ou ne l’est plus (statu quo ante ou statu quo sine) selon le critère de la vraisemblance prépondérante, usuel en matière de preuve dans le domaine des assurances sociales (ATF 126 V 353 consid. 5b; ATF 125 V 193 consid. 2; RAMA 2000 n° U 363 p. 46). 6. a. Aux termes de l'art. 6 al. 2 LAA, le Conseil fédéral peut inclure dans l'assurance des lésions corporelles qui sont semblables aux conséquences d'un accident. En vertu de cette délégation de compétence, il a édicté l'art. 9 al. 2 de l'ordonnance sur l'assurance-accidents du 20 décembre 1982 (OLAA ; RS 832.202)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3.3.1; ATF 129 V 466; ATF 123 V 43</w:t>
      </w:r>
    </w:p>
    <w:p>
      <w:r>
        <w:t>A/1233/2015 - 11/18 - consid. 2b). Il faut qu'un facteur extérieur soit une cause possible de la lésion, au moins à titre partiel, pour qu'une lésion assimilée à un accident soit admise (arrêt du Tribunal fédéral 8C_698/2007 du 27 octobre 2008 consid. 4.2). Pour admettre l'existence d'un lien de causalité naturelle, il suffit que l'événement assuré soit en partie à l'origine de l'atteinte à la santé. Un état dégénératif ou morbide antérieur n'exclut pas l'existence d'une lésion corporelle assimilée à un accident, cela pour autant que l'événement ait au moins déclenché ou aggravé l'atteinte préexistante (voir ATF 123 V 43 consid. 2b ; ATF 116 V 145 consid. 2c et la jurisprudence citée).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w:t>
      </w:r>
    </w:p>
    <w:p>
      <w:r>
        <w:rPr>
          <w:b/>
        </w:rPr>
        <w:t>E. 31</w:t>
      </w:r>
    </w:p>
    <w:p>
      <w:r>
        <w:t>janvier 2008 consid. 3.2). 7. a. Selon la recommandation de la Commission ad-hoc sinistres LAA n° 2/86 relative aux lésions corporelles assimilées à un accident, en cas de luxations de l’épaule et de lésions corporelles récidivantes similaires, les frais de guérison et les indemnités journalières doivent être pris en charge par l’assureur-accidents tenu de verser des prestations pour le dernier événement (accident ou événement assimilé à un accident) jusqu’à ce que le statu quo sine ou ante soit atteint. Si la seule obligation de l’assureur-accidents de verser des prestations pour le dernier</w:t>
      </w:r>
    </w:p>
    <w:p>
      <w:r>
        <w:t>A/1233/2015 - 12/18 - événement ne paraît pas normale (par exemple, parce qu’une opération, qui aurait été clairement indiquée déjà après l’événement précédent, n’a pas été effectuée pour des raisons personnelles ou professionnelles) ainsi que dans le cas d’indemnités pour atteinte à l’intégrité ou d’invalidité, déclenchées lors du dernier événement, mais devant être attribuées partiellement aussi aux suites d’événements précédents, il y a lieu de rechercher un accord, en appliquant par analogie l’art. 100 OLAA (cf. recommandation n° 3/89). b. Les recommandations de la Commission susmentionnée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134 V 277 consid. 3.5 ; ATF 114 V 315 consid. 5c; RAMA 1994 n° U 207 p. 336 consid. 4c)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w:t>
      </w:r>
    </w:p>
    <w:p>
      <w:r>
        <w:t>A/1233/2015 - 13/18 - mettre en cause leur bien-fondé. Le simple fait que le médecin consulté est lié à l'assureur par un rapport de travail ne permet pas encore de douter de l'objectivité de son appréciation ni de soupçonner une prévention à l'égard de l'assuré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9.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w:t>
      </w:r>
    </w:p>
    <w:p>
      <w:r>
        <w:t>A/1233/2015 - 14/18 - du Tribunal fédéral des assurances U 359/04 du 20 décembre 2005 consid. 2, U 389/04 du 27 octobre 2005 consid. 4.1 et U 222/04 du 30 novembre 2004 consid. 1.3). 10.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11. En l’espèce, il résulte des pièces versées au dossier que le recourant s’est blessé à l’épaule droite le 6 juillet 2013 alors qu’il voulait lancer une balle tout en sautant dans une piscine. Cet événement a déclenché une vive symptomatologie douloureuse et le recourant a dû être transporté en ambulance à l’hôpital, où une luxation antéro-intérieure a été diagnostiquée. L’intimée ne conteste pas le caractère soudain et involontaire de l’atteinte à la santé, ni le facteur de cause extérieure. En outre, cette atteinte correspond à un déboîtement d’articulations au sens de l'art. 9 al. 2 let. b OLAA. L’intimée était donc tenue de prendre en charge les suites de cet événement, ce qu’elle a d’ailleurs fait jusqu’au 6 octobre 2013, puisque l’origine exclusivement dégénérative de la lésion n’était pas manifeste. L’intimée est cependant d'avis que le sinistre a uniquement aggravé de manière temporaire les multiples dégâts déjà causés à l’épaule droite par les nombreuses luxations antérieures et que le statu quo a été atteint le 6 octobre 2013. D’autre part, elle refuse la prise en charge de l’intervention chirurgicale réalisée en décembre 2013 au motif que celle-ci aurait servi à traiter une instabilité préexistante. Elle se fonde pour cela sur l’appréciation de son médecin-conseil. 12. a. S’agissant du retour au statu quo sine, il est rappelé qu’en cas de lésion assimilée à un accident, il n’est atteint que lorsque le caractère exclusivement maladif ou dégénératif de la lésion est manifeste. Il convient donc d’examiner si les avis du Dr H______ permettent de conclure que les troubles présentés par le recourant au-delà du 6 octobre 2013 revêtent un tel caractère. b. Le médecin-conseil a relevé que plusieurs luxations étaient décrites avant l’événement assuré, à partir de 2005, que plusieurs d’entre elles s’étaient réduites spontanément et que l’épisode du 6 juillet 2013 n’avait pas été particulièrement vulnérant par rapport aux précédents (avis du 20 février 2015), l’intervention d’une ambulance n’étant pas forcément révélateur sur ce point (avis du 13 mai 2015). Il a donc retenu un tableau de luxation habituelle (avis du 20 février 2015), soit un</w:t>
      </w:r>
    </w:p>
    <w:p>
      <w:r>
        <w:t>A/1233/2015 - 15/18 - stade plus avancé que la luxation récidivante (avis du 13 mai 2015), bien que le recourant n’avait plus été victime de luxation depuis quatre ans. Il a précisé à cet égard que les périodes de répit pouvaient être liées au fait que le patient apprenait à ne pas effectuer certains mouvements pour éviter la survenance d’une nouvelle luxation (avis du 13 mai 2015). Il a également expliqué que chaque épisode de luxation antéro-inférieure favorisait la survenance d’un nouvel épisode, et que plus le patient était jeune au moment de la première luxation, plus il serait sujet à d’autres épisodes. Le Dr H______ a conclu que la prise en charge sur une période de trois mois à partir de l’évènement assuré semblait adéquate (avis du 20 février 2015). La chambre de céans relève en premier lieu que si l’existence de lésions antérieures au dernier épisode est attestée par plusieurs documents, à l’instar du rapport d’arthro-IRM du 22 août 2013 qui a mis en évidence des antécédents d’instabilité, ou encore du rapport du 12 juillet 2009 de la Dresse I______ faisant état d’une petite lésion de Hill Sachs, aucune pièce produite ne permet de retenir que les troubles présentés par le recourant au-delà du 6 octobre 2013 auraient un caractère exclusivement maladif ou dégénératif. Le médecin-conseil de l’intimée s’est contenté d'indiquer que la prise en charge sur une période de trois mois « semble adéquate », ce qui est manifestement insuffisant eu égard à la réglementation spécifique selon laquelle on ne peut admettre un retour au statu quo ante ou une évolution vers un statu quo sine que si l’origine maladive ou dégénérative de la lésion assimilée est manifeste et exclut toute cause accidentelle. En outre, la chambre de céans observe que le caractère particulièrement vulnérant du dernier accident n’est pas pertinent dans le cadre de l’appréciation d’un retour au statu quo, et que l’affirmation du Dr H______, selon laquelle plusieurs luxations antérieures au faux mouvement du 6 juillet 2013 s’étaient réduites spontanément, semble inexacte. En effet, le recourant a continuellement allégué, sans que cela soit contredit par le moindre rapport, que seul l’épisode de juillet 2013 avait nécessité une réduction médicale. c. Partant, l’intimée n’était pas fondée, sur la base des avis du Dr H______, à conclure que le statu quo avait été atteint le 6 octobre 2013. Pour ce motif déjà, la décision litigieuse doit être annulée, l’intimée ne pouvant mettre fin à ses prestations dès cette date. 13. a. Concernant l’intervention chirurgicale du 20 décembre 2013, l’argumentation de l’intimée est fondée sur la recommandation de la Commission ad-hoc sinistres LAA n° 2/86, selon laquelle, en cas de luxations récidivantes de l’épaule, le fait qu’une opération ait été clairement indiquée après l’événement précédent permet à l’assureur-accidents tenu de verser des prestations pour le dernier événement de rechercher un accord. Le Dr H______ a dans un premier temps exposé que la nécessité d’une intervention stabilisatrice était évidente de longue date, compte tenu du nombre important de</w:t>
      </w:r>
    </w:p>
    <w:p>
      <w:r>
        <w:t>A/1233/2015 - 16/18 - luxations (avis du 20 février 2015). Par la suite, il a admis qu’aucun document n’indiquait qu’une opération aurait été proposée au recourant avant l’épisode du 6 juillet 2013, mais a exposé qu’il n’était pas exclu qu’une telle intervention ait été évoquée oralement. Selon lui, le fait qu’un avis orthopédique ait été recommandé auprès du Dr J______ démontre qu’il y avait déjà eu, en 2009, une réflexion sur la nécessité d’une intervention chirurgicale. Il a ajouté que lorsqu’une personne était victime de quatre ou cinq luxations, une opération devenait incontournable (avis du 13 mai 2015). b. La chambre de céans rappelle tout d’abord que la recommandation précitée ne la lie pas. Cela étant, elle n’est d’aucun secours pour l’intimée. En effet, le rapport du 12 juillet 2009 de la Dresse I______, laquelle préconisait que le recourant soit ausculté par un spécialiste en orthopédie, ne contient aucune référence à une éventuelle opération. De plus, si le recourant n’a pas été examiné par le Dr J______, comme le souligne le Dr H______, il n’en reste pas moins qu’il l’a été par un médecin praticien le 26 août 2009, lequel a uniquement prescrit le port d’une attelle et des séances de physiothérapie, ces dernières ayant été renouvelées « par prudence » en novembre 2009 « pour fin de traitement » (rapports des 18 février 2014 et 28 mars 2015 du Dr K______). c. Ainsi, il n’est nullement établi, au degré de la vraisemblance prépondérante requis, qu’une indication opératoire existait déjà avant l’événement du 6 juillet 2013. 14. Au vu de ce qui précède, l’intimée ne pouvait pas mettre fin à ses prestations au 6 octobre 2013, ni refuser la prise en charge de l’intervention du 20 décembre 2013. Partant, le recours est admis, la décision litigieuse est annulée et l’intimée devra reprendre le versement des prestations dues au recourant. 15. Le recourant requiert que la Suva, en sa qualité d’assureur-accident au moment du précédent sinistre, soit appelée en cause dans la présente procédure. A teneur de l’art. 71 LPA, l’autorité peut, d’office ou sur requête, ordonner l’appel en cause de tiers dont la situation juridique est susceptible d’être affectée par l’issue de la procédure. Dans ce cas, la décision leur devient opposable. D’une manière générale, dans les cantons qui comme celui de Genève connaissent cette institution de procédure, l’appel en cause permet de contraindre des tiers qui ne possèdent pas la qualité de partie faute d’en satisfaire les conditions à participer à la procédure afin de leur rendre opposable la décision, respectivement le jugement qui doit être rendu à son issue (cf. ATF 125 V 94 consid. 8b). L’appel en cause n’est pas destiné à faire intervenir ou à étendre la procédure à des personnes qui bénéficient déjà de la qualité de partie et qui ne participent pas pour une raison quelconque à la procédure. Il vise bien plutôt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w:t>
      </w:r>
    </w:p>
    <w:p>
      <w:r>
        <w:t>A/1233/2015 - 17/18 - par un souci d’économie de procédure. Il permet également de prévenir le prononcé de décisions ou jugements contradictoires. Le tiers appelé en cause doit naturellement posséder la capacité d’être partie et la capacité d’ester (cf. arrêt du Tribunal fédéral des assurances B 47/02 du 25 août 2003 consid. 3.2.1). En l’occurrence, compte tenu de l’issue du litige, il ne sera pas donné suite à la demande d’appel en cause sollicitée par le recourant. 16. Le recourant, qui n’est pas représenté, n’a pas droit à des dépens (art. 61 let. a LPGA). Pour le surplus, la procédure est gratuite (art. 61 let. a LPGA ; art. 89H LPA).</w:t>
      </w:r>
    </w:p>
    <w:p>
      <w:r>
        <w:t>A/1233/2015 - 18/18 -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