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ATAS/701/2022 vom 11. August 2022</w:t>
      </w:r>
    </w:p>
    <w:p>
      <w:r>
        <w:t>GE Cour de justice, 2022-08-11, FR</w:t>
      </w:r>
    </w:p>
    <w:p>
      <w:r>
        <w:rPr>
          <w:b/>
        </w:rPr>
        <w:t xml:space="preserve">Quelle: </w:t>
      </w:r>
      <w:r>
        <w:t>https://mcp.opencaselaw.ch/entscheid/ge_gerichte_ATAS_701_2022</w:t>
      </w:r>
    </w:p>
    <w:p>
      <w:r>
        <w:t>FR: GE_GERICHTE ATAS/701/2022 du 11 août 2022</w:t>
      </w:r>
    </w:p>
    <w:p>
      <w:r>
        <w:t>IT: GE_GERICHTE ATAS/701/2022 del 11 agosto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art. 62 al. 1 de la de loi sur la procédure administrative du 12 septembre 1985 [LPA - E 5 10]). Interjeté dans les formes et le délai prévus par la loi, le recours est recevable.</w:t>
      </w:r>
    </w:p>
    <w:p>
      <w:r>
        <w:rPr>
          <w:b/>
        </w:rPr>
        <w:t>E. 3</w:t>
      </w:r>
    </w:p>
    <w:p>
      <w:r>
        <w:t>Le litige porte sur le bien-fondé des décisions de cotisations rendues par l’intimée pour les années 2015, 2016 et 2019.</w:t>
      </w:r>
    </w:p>
    <w:p>
      <w:r>
        <w:rPr>
          <w:b/>
        </w:rPr>
        <w:t>E. 4</w:t>
      </w:r>
    </w:p>
    <w:p>
      <w:r>
        <w:t>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Une cotisation de 8.1 % est perçue sur le revenu provenant d’une activité indépendante (art. 8 al. 1 LAVS).</w:t>
      </w:r>
    </w:p>
    <w:p>
      <w:r>
        <w:t>A/2276/2021 - 4/8 -</w:t>
      </w:r>
    </w:p>
    <w:p>
      <w:r>
        <w:rPr>
          <w:b/>
        </w:rPr>
        <w:t>E. 4.1</w:t>
      </w:r>
    </w:p>
    <w:p>
      <w:r>
        <w:t>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4.2</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Elles le sont en principe également par les communications fiscales fondées sur des taxations d’office passées en force, bien que celles-ci soient moins précises que des taxations établies selon la procédure ordinaire, c’est-à-dire par rapport à des données concrètes (arrêt du Tribunal fédéral des assurances H 17/00 du</w:t>
      </w:r>
    </w:p>
    <w:p>
      <w:r>
        <w:rPr>
          <w:b/>
        </w:rPr>
        <w:t>E. 4.3</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taxations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86110 V 86 consid. 4 et 370 s.;</w:t>
      </w:r>
    </w:p>
    <w:p>
      <w:r>
        <w:t>A/2276/2021 - 5/8 - 106 V 130106 V 130 consid. 1; 102 V 30102 V 30 consid. 3a; VSI 1997 p. 26 consid. 2b et la référence).</w:t>
      </w:r>
    </w:p>
    <w:p>
      <w:r>
        <w:rPr>
          <w:b/>
        </w:rPr>
        <w:t>E. 4.4</w:t>
      </w:r>
    </w:p>
    <w:p>
      <w:r>
        <w:t>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w:t>
      </w:r>
    </w:p>
    <w:p>
      <w:r>
        <w:rPr>
          <w:b/>
        </w:rPr>
        <w:t>E. 4.5</w:t>
      </w:r>
    </w:p>
    <w:p>
      <w:r>
        <w:t>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w:t>
      </w:r>
    </w:p>
    <w:p>
      <w:r>
        <w:rPr>
          <w:b/>
        </w:rPr>
        <w:t>E. 5</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cu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w:t>
      </w:r>
    </w:p>
    <w:p>
      <w:r>
        <w:t>A/2276/2021 - 6/8 -</w:t>
      </w:r>
    </w:p>
    <w:p>
      <w:r>
        <w:rPr>
          <w:b/>
        </w:rPr>
        <w:t>E. 6</w:t>
      </w:r>
    </w:p>
    <w:p>
      <w:r>
        <w:t>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rPr>
          <w:b/>
        </w:rPr>
        <w:t>E. 7</w:t>
      </w:r>
    </w:p>
    <w:p>
      <w:r>
        <w:t>En l'espèce, il est établi que les cotisations pour les années 2015, 2016 et 2019 ont été fixées sur la base du revenu net pris en compte par la taxation fiscale d'office relative à ces années. Cette taxation d'office est définitive, les réclamations formées par l'intéressé ayant été rejetées par l'AFC. Conformément à la jurisprudence, les autorités et le juge sont liés par le revenu ressortant d'une taxation fiscale, même d'office, et ils ne s'en écartent que si dite</w:t>
      </w:r>
    </w:p>
    <w:p>
      <w:r>
        <w:t>A/2276/2021 - 7/8 - taxation contient des erreurs manifestes du point de vue du droit des assurances sociales. À cet égard, il sied de souligner que le recourant s’est pour l’essentiel contenté, depuis le début de la procédure, tant non contentieuse que contentieuse, d’indiquer que les taxations d’office, de manière générale et par définition, sont arbitraires et ne correspondent pas à la réalité. À aucun moment il n’a fait état du revenu sur lequel il estime devoir être taxé, ni n’a produit le moindre document comptable permettant de l’établir (pas même un compte de pertes et profits). Il s'est contenté de produire, très tardivement (soit au stade de la duplique), l’extrait d’un compte bancaire à son nom auprès de la BCGE pour la période de 2015 à 2020, sans la moindre explication, si ce n'est qu’il s’agirait du seul compte relatif à son activité d’indépendant et que les revenus qui y figurent sont inférieurs à ceux retenus par l’AFC. La Cour de céans aurait éventuellement pu s'écarter des taxations fiscales d’office si le recourant, avocat de surcroît, avait collaboré à l'instruction de la cause et démontré par pièces que le revenu de l'activité indépendante pris en compte pour la fixation des cotisations était manifestement erroné. A défaut de preuve, et même de l’allégation par le recourant du montant du revenu d'indépendant, il ne saurait être tenu pour établi que le revenu retenu par l’AFC comporte des erreurs manifestes susceptibles d’être corrigées aisément. C’est ainsi à juste titre que l’intimée a fixé les cotisations définitives de l’assuré pour les années 2015, 2016 et 2019 sur la base des montants retenus par l’AFC dans ses avis de taxations.</w:t>
      </w:r>
    </w:p>
    <w:p>
      <w:r>
        <w:rPr>
          <w:b/>
        </w:rPr>
        <w:t>E. 8</w:t>
      </w:r>
    </w:p>
    <w:p>
      <w:r>
        <w:t>Au vu de ce qui précède, le recours ne peut qu'être rejeté. Pour le surplus, la procédure est gratuite (art. 61 let. fbis a contrario LPGA).</w:t>
      </w:r>
    </w:p>
    <w:p>
      <w:r>
        <w:t>A/2276/2021 - 8/8 -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