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ATAS/701/2021 vom 29. Juni 2021</w:t>
      </w:r>
    </w:p>
    <w:p>
      <w:r>
        <w:t>GE Cour de justice, 2021-06-29, FR</w:t>
      </w:r>
    </w:p>
    <w:p>
      <w:r>
        <w:rPr>
          <w:b/>
        </w:rPr>
        <w:t xml:space="preserve">Quelle: </w:t>
      </w:r>
      <w:r>
        <w:t>https://mcp.opencaselaw.ch/entscheid/ge_gerichte_ATAS_701_2021</w:t>
      </w:r>
    </w:p>
    <w:p>
      <w:r>
        <w:t>FR: GE_GERICHTE ATAS/701/2021 du 29 juin 2021</w:t>
      </w:r>
    </w:p>
    <w:p>
      <w:r>
        <w:t>IT: GE_GERICHTE ATAS/701/2021 del 29 giugno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dès lors que le présent recours était, au 1er janvier 2021, pendant auprès de la chambre de céans, il reste régi par l’ancien droit (droit (cf. art. 82a LPGA ; RO 2020 5137 ; FF 2018 1597 ; erratum de la CdR de l’Ass. féd. du 19 mai 2021, publié le 18 juin 2021 in RO 2021 358).</w:t>
      </w:r>
    </w:p>
    <w:p>
      <w:r>
        <w:rPr>
          <w:b/>
        </w:rPr>
        <w:t>E. 4</w:t>
      </w:r>
    </w:p>
    <w:p>
      <w:r>
        <w:t>Le 1er janvier 2017 est entrée en vigueur la modification du 25 septembre 2015 de la LAA. Dans la mesure où les accidents sont survenus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Interjeté dans la forme et le délai prévus par la loi, le recours est recevable en vertu des art. 38 al. 3 ainsi que 56 ss LPGA.</w:t>
      </w:r>
    </w:p>
    <w:p>
      <w:r>
        <w:rPr>
          <w:b/>
        </w:rPr>
        <w:t>E. 6</w:t>
      </w:r>
    </w:p>
    <w:p>
      <w:r>
        <w:t>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si l'assuré souffre par suite de l'accident d'une atteinte importante et durable à son intégrité physique, mentale ou psychique (art. 24 al. 1 LAA).</w:t>
      </w:r>
    </w:p>
    <w:p>
      <w:r>
        <w:t>A/4544/2019 - 18/31 -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L’art. 19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b. L’art. 19 al. 1 LAA délimite ainsi, du point de vue temporel, le droit aux prestations temporaires que sont les indemnités journalières et la prise en charge du traitement d’une part, et le droit à la rente – et à l’IPAI (art. 24 al. 2 LAA) – d’autre part (arrêts du Tribunal fédéral 8C_320/2019 du 14 avril 2020 consid. 6.1.2 et 8C_687/2014 du 9 septembre 2015 consid. 5.1.2), la suspension des prestations provisoires (indemnités journalières et prise en charge du traitement) et la liquidation du cas avec examen des conditions du droit à la rente et à l’IPAI étant des questions si étroitement liées entre elles qu’il faut partir du principe qu’il s’agit d’un seul objet du litige (ATF 144 V 354 consid. 4.2).</w:t>
      </w:r>
    </w:p>
    <w:p>
      <w:r>
        <w:rPr>
          <w:b/>
        </w:rPr>
        <w:t>E. 7</w:t>
      </w:r>
    </w:p>
    <w:p>
      <w:r>
        <w:t>Il convient, au préalable, de déterminer l’objet du litige. a. Par courrier du 19 février 2009, l’intimée a communiqué au recourant la fin du versement des indemnités journalières à compter du 1er mars 2009, au motif qu’il avait recouvré une capacité de travail entière dans son activité habituelle, ce que le recourant a par ailleurs admis par courrier du 6 juin 2009, tout comme ses médecins (rapports des 2 et 29 juin 2009 du Dr E______ et rapport du 6 juillet 2009 du Dr F______). Par courrier du 26 août 2009, le recourant a toutefois annoncé une aggravation de son état de santé entraînant une nouvelle incapacité de travail totale à compter du 4 juin 2009, pour laquelle il sollicitait la reprise du versement des indemnités journalières, ce que l’assureur a refusé par décision du 13 janvier 2011, au motif que l’assuré ne présentait aucune incapacité de travail dans son activité habituelle. Suite à l’opposition du recourant et après avoir mis en œuvre une évaluation fonctionnelle auprès de la CRR, l’intimée a, par décision sur opposition du 3 juillet 2013, confirmé la fin du versement des indemnités journalières au 28 février 2009 vu la capacité de travail entière du recourant dans son activité de chef de projet informatique et le fait que sa situation médicale était stabilisée dès janvier 2009, et a annoncé une instruction concernant un éventuel droit à une rente. Dans la décision du 20 mai 2014 qui s’en est suivi, l’intimée s’est non seulement prononcée sur le droit du recourant à une rente, qu’elle a nié, mais également sur l’octroi d’une IPAI et sur la fin du remboursement des frais médicaux au 31 décembre 2012.</w:t>
      </w:r>
    </w:p>
    <w:p>
      <w:r>
        <w:t>A/4544/2019 - 19/31 - Or, par opposition du 23 juin 2014, le recourant a uniquement contesté cette décision sous l’angle de la rente d’invalidité et de l’IPAI. C’est donc à bon droit que l’intimée n’a pas réexaminé la fin de la prise en charge des frais de traitement au 31 décembre 2012 dans sa décision sur opposition du 5 novembre 2019 litigieuse. Il est dès lors douteux que le droit du recourant à la prise en charge des frais de traitement à compter du 1er janvier 2013 puisse être examiné dans le cadre de la présente procédure de recours. Quoi qu’il en soit, à la suite de la décision sur opposition du 3 juillet 2013, l’intéressé n’a pas contesté qu’il n’y avait plus lieu d’attendre de la continuation du traitement médical une sensible amélioration de son état au sens de l’art. 19 al. 1 in initio LAA, ni que son éventuel droit à une rente avait pris naissance le 1er mars 2009, en application du même alinéa. Or, conformément à l’art. 19 al. 1 in fine LAA, le droit au traitement médical et aux indemnités journalières cesse dès la naissance du droit à la rente, et on ne se trouve pas dans une des circonstances prévues par l’art. 21 LAA pour un éventuel « traitement médical après la fixation de la rente ». Partant, la conclusion du recourant concernant les frais de traitement doit être déclarée irrecevable. b. Par ailleurs, le recourant ne conteste pas l’octroi d’une IPAI de 30 %, de sorte que seul demeure litigieux son éventuel droit à une rente d’invalidité à compter du 1er mars 2009. c. Il est enfin rappelé que, de jurisprudence constante, le juge apprécie en règle générale la légalité des décisions entreprises d'après l'état de fait existant au moment où la décision litigieuse a été rendue (ATF 144 V 210 consid. 4.3.1 ; ATF 132 V 215 consid. 3.1.1).</w:t>
      </w:r>
    </w:p>
    <w:p>
      <w:r>
        <w:rPr>
          <w:b/>
        </w:rPr>
        <w:t>E. 8</w:t>
      </w:r>
    </w:p>
    <w:p>
      <w:r>
        <w:t>a. Selon l'art. 6 al. 1 LAA, si ladite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arrêt du Tribunal fédéral des assurances U 351/04 du 14 février 2006 consid. 3.2).</w:t>
      </w:r>
    </w:p>
    <w:p>
      <w:r>
        <w:t>A/4544/2019 - 20/31 -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b. En vertu de l’art. 11 de l’ordonnance sur l'assurance-accidents du 20 décembre 1982 (OLAA - RS 832.202), les prestations d’assurance sont également versées en cas de rechutes et de séquelles tardives; les bénéficiaires de rentes d’invalidité doivent toutefois remplir les conditions posées à l’art. 21 LAA (lequel porte sur le « traitement médical après la fixation de la rente »).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arrêt du Tribunal fédéral 8C_450/2019 du 12 mai 2020 consid. 4). c.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A/4544/2019 - 21/31 - En vertu de l’art. 8 LPGA, est réputée invalidité l’incapacité de gain totale ou partielle qui est présumée permanente ou de longue durée. L’incapacité de travail (art. 6 LPGA) est étroitement liée aux notions d’incapacité de gain (art. 7 LPGA) et d’invalidité (art. 8 LPGA), dont elle représente en quelque sorte le point de départ, mais doit cependant en être distinguée. Elle correspond à la perte effective et immédiate de la capacité d’accomplir son travail (lucratif ) habituel en raison d’une atteinte à la santé et donne droit à des prestations en espèces à court terme et de nature temporaire, sous forme d’indemnités journalières ; l’incapacité de gain correspond à une incapacité durable de réaliser un revenu sur un marché du travail équilibré, qui donne lieu, si elle est présumée permanente ou de longue durée – et est alors qualifiée d’invalidité – à des prestations de longue durée (rentes) des assurances sociales (Margit MOSER-SZELESS, in Commentaire romand, LPGA, n. 4 ad art. 6 LPGA). L’incapacité de travail est un élément nécessaire de l’incapacité de gain et, finalement, de l’invalidité (Margit MOSER-SZELESS, op. cit., n. 48 ad art. 6 LPGA). L’incapacité de gain représente quant à elle l’élément constitutif déterminant de l’invalidité (Margit MOSER-SZELESS, op. cit., n. 4 ad art. 7 LPGA). Il y a enfin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w:t>
      </w:r>
    </w:p>
    <w:p>
      <w:r>
        <w:t>A/4544/2019 - 22/31 -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t>A/4544/2019 - 23/31 -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h. 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w:t>
      </w:r>
    </w:p>
    <w:p>
      <w:r>
        <w:t>A/4544/2019 - 24/31 -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i.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ressort du dossier que, pour la période du 1er mars au 3 juin 2009, l’assuré a estimé que l’état de ses membres inférieurs, en particulier ses genoux, s’était amélioré au point qu’il puisse avoir recouvré une capacité de travail entière, ce qui a aussi été l’appréciation des Drs H______, ainsi que, avant le 20 août 2009, E______ et F______. Cela étant, il convient de retenir l’existence d’une rechute – au sens énoncé plus haut – dans cette partie du corps, comme l’a du reste admis le médecin-conseil le</w:t>
      </w:r>
    </w:p>
    <w:p>
      <w:r>
        <w:rPr>
          <w:b/>
        </w:rPr>
        <w:t>E. 11</w:t>
      </w:r>
    </w:p>
    <w:p>
      <w:r>
        <w:t>mai 2010 (selon la note de l’assureur du 18 mai 2010), et sans que cela ait ultérieurement été contesté par les différents médecins ayant examiné l’intéressé, ni par les parties elles-mêmes. La mention par l’intimée, dans la décision sur opposition querellée, d’une contradiction provenant du contenu du courrier du recourant lui-même du 6 juin 2009 n’est pas suffisant pour remettre en doute l’existence de la rechute le 4 juin 2009. Notamment, les effets concrets de la rechute en cause sur la capacité de travail ont tout à fait pu se faire sentir plusieurs jours plus tard, l’assuré ayant fait état d’un mouvement anodin le 4 juin 2009. Il est au surplus relevé que les conclusions du rapport du Dr E______ du 29 juin 2009 se fondaient sur une consultation du 7 avril 2009, antérieure à ladite rechute. b. Il n’est pas non plus contesté par les parties et les médecins – ni contestable – que les atteintes constatées, après le 1er mars 2009, aux membres inférieurs du recourant, en particulier ses genoux, ainsi que leurs éventuels effets étaient en lien de causalité naturelle et adéquate avec les accidents assurés des 20 juin 1995 et</w:t>
      </w:r>
    </w:p>
    <w:p>
      <w:r>
        <w:rPr>
          <w:b/>
        </w:rPr>
        <w:t>E. 13</w:t>
      </w:r>
    </w:p>
    <w:p>
      <w:r>
        <w:t>Comme retenu dans l’ATAS/653/2013 précité (consid. 13b) concernant le recourant lui-même, l’activité habituelle de celui-ci est toujours exigible, à 75 %. Il est ainsi superflu de chiffrer avec exactitude les revenus avec et sans invalidité, dès lors que tous deux se basent sur le même salaire. En pareil cas, le degré d'invalidité se confond en effet avec celui de l'incapacité de travail – ici de 25 % –, ce qui ne laisse pas de place à la prise en compte d’un éventuel abattement en plus (arrêts du Tribunal fédéral 9C_888/2011 du 13 juin 2012 consid. 4.4 et 9C_137/2010 du 19 avril 2010).</w:t>
      </w:r>
    </w:p>
    <w:p>
      <w:r>
        <w:rPr>
          <w:b/>
        </w:rPr>
        <w:t>E. 14</w:t>
      </w:r>
    </w:p>
    <w:p>
      <w:r>
        <w:t>Le recours doit par conséquent être partiellement admis, la décision sur opposition querellée réformée en ce sens que l’assuré a droit à une rente d’invalidité de 25 % à compter du 4 juin 2009, la cause étant renvoyée à l’assureur pour calcul des prestations dues.</w:t>
      </w:r>
    </w:p>
    <w:p>
      <w:r>
        <w:rPr>
          <w:b/>
        </w:rPr>
        <w:t>E. 15</w:t>
      </w:r>
    </w:p>
    <w:p>
      <w:r>
        <w:t>Vu l’issue du litige, une indemnité de dépens, légèrement réduite, de CHF 1'500.- sera allouée au recourant, qui est assisté d’un conseil, à la charge de l’intimée (art. 61 let. g LPGA). La procédure est gratuite (art. 61 al. 1 let. a LPGA, applicable ratione temporis vu l’art. 82a LPGA).</w:t>
      </w:r>
    </w:p>
    <w:p>
      <w:r>
        <w:t>A/4544/2019 - 30/31 - ******</w:t>
      </w:r>
    </w:p>
    <w:p>
      <w:r>
        <w:t>A/4544/2019 - 31/31 -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