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ATAS/701/2015 vom 21. September 2015</w:t>
      </w:r>
    </w:p>
    <w:p>
      <w:r>
        <w:t>GE Cour de justice, 2015-09-21, FR</w:t>
      </w:r>
    </w:p>
    <w:p>
      <w:r>
        <w:rPr>
          <w:b/>
        </w:rPr>
        <w:t xml:space="preserve">Quelle: </w:t>
      </w:r>
      <w:r>
        <w:t>https://mcp.opencaselaw.ch/entscheid/ge_gerichte_ATAS_701_2015</w:t>
      </w:r>
    </w:p>
    <w:p>
      <w:r>
        <w:t>FR: GE_GERICHTE ATAS/701/2015 du 21 septembre 2015</w:t>
      </w:r>
    </w:p>
    <w:p>
      <w:r>
        <w:t>IT: GE_GERICHTE ATAS/701/2015 del 21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A/2954/2013 - 13/25 -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Par arrêt incident du 4 octobre 2013, la Cour de céans a déclaré le recours recevable (ATAS/973/2013).</w:t>
      </w:r>
    </w:p>
    <w:p>
      <w:r>
        <w:rPr>
          <w:b/>
        </w:rPr>
        <w:t>E. 3</w:t>
      </w:r>
    </w:p>
    <w:p>
      <w:r>
        <w:t>L’objet du litige porte sur le bien-fondé de la décision du 7 août 2013 de suppression du trois-quarts de rente d’invalidité du recourant.</w:t>
      </w:r>
    </w:p>
    <w:p>
      <w:r>
        <w:rPr>
          <w:b/>
        </w:rPr>
        <w:t>E. 4</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w:t>
      </w:r>
    </w:p>
    <w:p>
      <w:r>
        <w:t>A/2954/2013 - 14/25 -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A/2954/2013 - 15/25 - (MEYER-BLASER, Bundesgesetz über die Invalidenversicherung, Zurich 1997, p. 8).</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A/2954/2013 - 16/25 -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i) On ajoutera qu'en cas de divergence d’opinion entre experts et médecins traitants, il n'est pas, de manière générale, nécessaire de mettre en œuvre une nouvelle expertise. La valeur probante des rapports médicaux des uns et des autres doit bien</w:t>
      </w:r>
    </w:p>
    <w:p>
      <w:r>
        <w:t>A/2954/2013 - 17/25 -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A/2954/2013 - 18/25 -</w:t>
      </w:r>
    </w:p>
    <w:p>
      <w:r>
        <w:rPr>
          <w:b/>
        </w:rPr>
        <w:t>E. 9</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10</w:t>
      </w:r>
    </w:p>
    <w:p>
      <w:r>
        <w:t>En l’espèce, la chambre de céans a ordonné, le 16 juin 2014, une expertise rhumatologique confiée au docteur U______; elle a constaté que l’intimé fondait sa décision de suppression du trois-quarts de rente d’invalidité du recourant sur l’expertise du Dr R______ du 3 décembre 2012, lequel fixait une exigibilité immédiate de 80 % dans une activité adaptée, soit une activité exercée en diminuant les mouvements en porte à faux, le port de charge de plus de 10 kg et les longs trajets en véhicule de plus de 2 heures et retenait que la situation s’était améliorée depuis l’examen SMR du 16 septembre 2008 par la disparition de l’amyotrophie ou de signe parlant en faveur d’un déconditionnement musculaire; elle a relevé que le Dr R______ ne mentionnait curieusement aucune amélioration de l’état de santé du recourant depuis les expertises des Drs M______ (2004) et N______ (2008), hormis la disparition du déconditionnement musculaire, lequel avait été constaté antérieurement par le Dr N______. On se trouvait, à cet égard, en présence de deux avis médicaux contradictoires dès lors que le Dr N______ avait constaté en 2008 un important trouble statique dans un contexte de déconditionnement musculaire avancé avec dysbalance, raccourcissement de la musculature ischio-jambiers et relâchement important de la sangle abdominale et une péjoration de l’état de santé depuis l’expertise du Dr M______ en 2004 (progression du trouble statique et déconditionnement musculaire). Or le Dr R______ n’expliquait pas pour quelle raison, en l’absence de tout réentraînement progressif à l’effort ou reconditionnement musculaire du recourant depuis 2008, ce dernier aurait présenté, de ce point de vue, une nette amélioration de son état de santé, ce d’autant que la période d’invalidité relevée comme facteur aggravant par le Dr N______ était non plus de 6 ans mais de 10 ans au jour de l’expertise du Dr R______. Qui plus était, les limitations fonctionnelles fixées par le Dr M______ en 2004 et le Dr N______ en 2008 se rapportaient à une profession adaptée qui devait être assise, évitant le port de charge, les positions</w:t>
      </w:r>
    </w:p>
    <w:p>
      <w:r>
        <w:t>A/2954/2013 - 19/25 - debout prolongées, les déplacements nombreux, le changement fréquents de position, les travaux au-dessus de la tête, toute posture entraînant une extension de la colonne vertébrale (expertise du Dr M______), le port de charge de plus de 7,5 kg de façon répétitive, la position en antéflexion ou en porte-à-faux du rachis contre résistance, la position statique au-delà de 40 minutes sans possibilité de varier les positions assises et debout, la montée/descente d’escaliers à répétition, la position en génuflexion ou accroupie à répétition, toute activité en hauteur ou sur terrain instable et l’exposition à des machines/outils réalisant des vibrations de 5 Hertz ou plus (expertise du Dr N______). Or, le Dr R______ se bornait à relever, comme limitations fonctionnelles, une nécessité de diminuer, mais non pas d’éviter, les mouvements en porte-à-faux avec long bras de levier, les déplacements immobiles de plus de deux heures en véhicule et le port de charge de plus de 10 kg, soit des limitations fonctionnelles moins importantes, sans pour autant expliquer en quoi l’état de santé du recourant s'était amélioré. L’expertise du Dr R______ ne revêtait ainsi pas une entière force probante. Dans ces conditions, il convenait d’ordonner une nouvelle expertise rhumatologique, ce d’autant que le recourant avait fait état d’une aggravation de son état de santé par la survenance d’une crise douloureuse et paralysie aux bras en mai 2013, avec soupçon de la présence d’une hernie cervicale (procès-verbal de comparution personnelle du 4 novembre 2013). Par ailleurs, du point de vue psychique, le Dr P______ avait invoqué le 21 mars 2012, un état psychique anormal à l’origine d’une difficulté de prise en charge médicale; le recourant, lors de l’audience de comparution personnelle du 4 novembre 2013, avait aussi expliqué qu’il présentait d’importants problèmes de sommeil, qu’il dormait très peu et jamais la nuit. Dans ces conditions, la question d’une éventuelle expertise psychiatrique se posait. Toutefois, la Cour ordonnerait dans un premier temps une expertise rhumatologique et, selon les résultats de celle-ci, examinerait l’opportunité d’une telle expertise psychiatrique.</w:t>
      </w:r>
    </w:p>
    <w:p>
      <w:r>
        <w:rPr>
          <w:b/>
        </w:rPr>
        <w:t>E. 11</w:t>
      </w:r>
    </w:p>
    <w:p>
      <w:r>
        <w:t>Le Dr U______ a rendu son rapport d'expertise le 10 décembre 2014; à la demande de la chambre de céans, il a complété celui-ci le 1er juin 2015. Ce rapport et son complément remplissent les critères jurisprudentiels précités pour qu'il leur soit reconnu une pleine valeur probante. L'expertise se fonde sur toutes les pièces médicales que l'expert a pris la peine de commenter, résume l'anamnèse de façon complète, relate les plaintes du recourant (chapitre affection actuelle) et comprend dans le chapitre discussion un rappel de l'approche médicale des atteintes chroniques du rachis; l'expert a pris la peine d'expliquer de quelle manière ce genre d'atteinte devait être pris en charge, afin d'assurer au mieux une réinsertion professionnelle, tout en relevant les problèmes et difficultés qui avaient jalonné</w:t>
      </w:r>
    </w:p>
    <w:p>
      <w:r>
        <w:t>A/2954/2013 - 20/25 - l'histoire médicale du recourant; les diagnostics sont clairs et motivés, tout comme l'évaluation de la capacité de travail du recourant. L'expert a conclu à une capacité de travail du recourant de 30 %. L'atteinte était objectivable, sous la forme d'un syndrome de déconditionnement physique qui comprenait la perte de l'endurance musculaire focale, de l’endurance globale cardio-vasculaire, la perte de la mobilité articulaire à tous les niveaux, les troubles de la coordination avec perte du schéma corporel et perte des composants proprioceptives permettant de maîtriser la gestuelle dans des situations urgentes par exemple. S'était ensuite greffé sur le déconditionnement physique un déconditionnement psychique, avec troubles du sommeil, état anxio-dépressif, kinésiophobie et réponse inadéquate au stress. L'expert a indiqué que le taux de 30 % prenait seulement en compte un plan somatique (rapport p. 23). Un reconditionnement – lequel devait se baser non pas uniquement sur les concepts biomécaniques, mais comprendre une approche physique et psychologique – permettrait vraisemblablement de remettre le recourant au travail. L'expert a relevé que le Dr N______ avait décrit très précisément un trouble fonctionnel musculo-squelettique découlant d'un trouble de la statique rachidienne, qu’il avait lui-même retrouvé lors de son examen; cette posture, en particulier la rétractation des ischio-jambiers, était impressionnante. Le Dr R______ avait exclu un déconditionnement en se basant sur l'absence d'amyotrophie, laquelle ne permettait toutefois pas d'exclure une pathologie musculaire et n'était pas la preuve d'une bonne condition physique (rapport 23 et complément p. 10); le Dr R______ avait de surcroît décrit un déconditionnement au moins focal sur la musculature du rachis, en notant un syndrome lombovertébral, une hyper-contracture de la région lombo-sacrée avec hypoextensibilité des érecteurs lombaires et du carré des lombes (rapport p. 23). L'expert a ainsi constaté que le Dr R______ décrivait à tout le moins un déconditionnement focal et excluait un déconditionnement global sur la base d'un critère non pertinent. Cette explication permettait de retenir, au degré de la vraisemblance prépondérante, que le recourant avait présenté un déconditionnement global constaté par le Dr N______ en 2008, et par lui-même en 2014, avec, à ce moment-là, en sus, un syndrome de déconditionnement et que l’état de santé du recourant s'était progressivement dégradé depuis février 2012 jusqu’à son propre examen du 19 août 2014. Il ressort de cette expertise que le déconditionnement global relevé par le Dr N______ a été confirmé par l’expert en 2014, celui-ci ayant même pu constater une aggravation de l’état de santé du courant par la présence d’un syndrome de déconditionnement. L’expert a indiqué qu’une éventuelle augmentation de la capacité de travail du recourant était entièrement dépendante de la réalisation effective d’une restauration fonctionnelle (expertise p. 23). Le recourant ne pouvait, sur la base d’un examen somatique, travailler au-delà de 30 % (complément p. 12); les limitations fonctionnelles étaient liées au syndrome</w:t>
      </w:r>
    </w:p>
    <w:p>
      <w:r>
        <w:t>A/2954/2013 - 21/25 - de déconditionnement, soit la perte de l’endurance musculaire focale, de l’endurance globale cardio-vasculaire, la perte de la mobilité articulaire à tous les niveaux, les troubles de la coordination avec perte du schéma corporel et perte de composants proprioceptives permettant de maîtriser la gestuelle dans des situations urgentes par exemple. Le déconditionnement psychique se greffait sur le déconditionnement physique avec troubles du sommeil, émergence d’un état anxio- dépressif, kinésiophobie et réponse inadéquate au stress, aussi bien physique que psychique. Au vu des explications complémentaires de l’expert, il convient d'admettre que la capacité de travail du recourant s’est maintenue à 50 % depuis l'examen par le Dr N______ et qu’elle était, au jour de sa propre expertise, le 19 août 2014, plus que de 30 %, l’état de santé s’étant progressivement dégradé depuis l'année 2012.</w:t>
      </w:r>
    </w:p>
    <w:p>
      <w:r>
        <w:rPr>
          <w:b/>
        </w:rPr>
        <w:t>E. 12</w:t>
      </w:r>
    </w:p>
    <w:p>
      <w:r>
        <w:t>Au surplus, les critiques du SMR à l'encontre de l'expertise judiciaire ne résistent pas à l'examen. Le SMR estime que la description du status de l'expert est similaire à celle du Dr R______ (démarche penché en avant, marche sur les talons ou les pointes de pieds possible, contracture musculaire vertébrale globale, absence de signe neurologique) et ne justifie pas le déconditionnement musculaire. A cet égard, l'expert a expliqué que le Dr N______ relatait déjà un trouble fonctionnel musculo- squelettique et que la description faite par le Dr R______ correspondait à tout le moins à un déconditionnement focal, sans signe objectivable de bonne condition physique, de sorte que ses propres constatations rejoignaient celles des deux médecins précités, sous réserve que le tableau clinique s'était aggravé. S'agissant des facteurs psycho-sociaux, l'expert a précisé qu'ils constituaient une conséquence du déconditionnement physique global et que les facteurs somatiques étaient à la base de l'atteinte; les facteurs psychosociaux faisaient partie de la définition du syndrome de déconditionnement et favorisaient la douleur (complément p. 2 - 3). Les aspects psychologiques et l’absence de contrat thérapeutique se combinaient à l’état physique et n’en représentaient nullement le poids le plus élevé (complément p. 2). Dans ces conditions, c'est à tort que l'intimé considère que les facteurs psychosociaux ont un caractère prépondérant dans les limitations du recourant. Comme relevé par l'expert, les données scientifiques les plus récentes tiennent compte d'une approche globale des personnes souffrant de lombalgies chroniques, laquelle a permis un taux de reprise de travail supérieur à celui issu d'une approche uniquement biomécanique. Cette constatation a amené l'expert à développer cet aspect et à évoquer l'ensemble des facteurs qui sont considérés par les thérapeutes, dans le cadre d'un reconditionnement des personnes atteintes de lombalgies chroniques. Or, l'intimé, à la première évocation de facteurs environnementaux, sociaux et familiaux, a estimé que l'atteinte relevait de facteurs non pris en charge par l'assurance-invalidité et n'était pas objectivable. Cette conclusion est erronée,</w:t>
      </w:r>
    </w:p>
    <w:p>
      <w:r>
        <w:t>A/2954/2013 - 22/25 - comme l'a souligné l'expert (complément p. 2). Celui-ci a d’ailleurs indiqué que le volet organique de l’atteinte à la santé du recourant n’était pas contestable et expliquait la symptomatologie, tout comme les constatations de l’examen physique, de sorte que l’atteinte à la santé était susceptible de provoquer les douleurs annoncées et était compatible avec les lésions radiologiques décrites; les composantes psychologiques n’étaient que secondaires (expertise p. 19 et complément p. 2). Le fait que, selon l’expert, des études expérimentales chez des sujets sains avaient montré l'influence négative des tensions psychologiques sur la musculature et la gestuelle du rachis en général (expertise p. 20) ne permet pas de reléguer en l'occurrence l'atteinte purement somatique au plan secondaire par rapport à l'aspect psychologique. Par ailleurs, l'expert a souligné qu'un processus de restauration fonctionnelle du rachis devait impliquer pour le recourant une couverture médicamenteuse adéquate, car la douleur physique persistante était un obstacle majeur à la récupération des déficiences fonctionnelles (expertise p. 21), reconnaissant par là-même la prépondérance de l'état douloureux objectivé. Enfin, l'expert lui-même, lorsqu'il répond aux critiques du SMR, indique ne pas comprendre pourquoi l'intimé insiste sur les termes psychologiques et sociaux en excluant le terme somatique, pourtant bien évident en début d'énumération (complément p. 3), ni pourquoi le SMR lui reproche d'outrepasser ses compétences, dès lors que les lignes directrices des HUG/CHUV pour la prise en charge des lombalgies chroniques commandent d'examiner la sphère psychologique, notamment pour décider du recours à un psychiatre (complément p. 6) et relève qu'il avait insisté sur le rôle premier des atteintes somatiques, sur leur responsabilité en tant qu'agent principal du développement du tableau clinique (complément p. 10). L'expert a aussi expliqué que le stress devant l'écran, qu'il avait mentionné dans l'évaluation de la capacité de travail, était d'abord physique, par surcharge de la musculature et absence d'ergonomie adéquate, de sorte que, contrairement à l'avis du SMR, la chambre de céans constate que l'expert n'a pas inclus une composante psychologique dans l'évaluation de la capacité de travail du recourant. L'avis du SMR du 21 juillet 2015, postérieur au complément d'expertise judiciaire, réitérant le constat d'absence d'évaluation strictement médico-théorique, n'est ainsi pas pertinent. En particulier, ce n'est pas parce que l'expert a fait part de l'approche globale des atteintes du rachis, en mentionnant les dernières avancées médicales dans la prise en charge la plus efficace possible de cette problématique, et en soulignant la difficulté à fixer précisément une capacité de travail résiduelle, que son évaluation est dénuée de force probante. En particulier, l'affirmation du SMR (avis du 21 juillet 2015), selon laquelle le risque de déconditionnement ne fait que reprendre les conséquences de la sédentarisation du recourant, est contredite par l'explication de l'expert sur le fait que l'atteinte à la santé du recourant est compatible avec les lésions radiologiques décrites, soit le vieillissement musculo-</w:t>
      </w:r>
    </w:p>
    <w:p>
      <w:r>
        <w:t>A/2954/2013 - 23/25 - squelettique et la cicatrisation post opératoire susceptible d'influencer le fonctionnement d'un segment de la chaîne vertébrale, affectant l'ensemble de celle- ci (expertise p. 19), lésions qui ont notamment entraîné des douleurs et un trouble fonctionnel musculo-squelettique (complément p. 7 – 8).</w:t>
      </w:r>
    </w:p>
    <w:p>
      <w:r>
        <w:rPr>
          <w:b/>
        </w:rPr>
        <w:t>E. 13</w:t>
      </w:r>
    </w:p>
    <w:p>
      <w:r>
        <w:t>L'expertise judiciaire étant convaincante, il y a lieu de suivre ses conclusions, soit une aggravation progressive de l'état de santé du recourant, depuis la décision de l'intimé de février 2012, de sorte que l'incapacité de travail de 50 % du recourant a perduré jusqu'au 19 août 2014, moment où elle a augmenté à 70 %.</w:t>
      </w:r>
    </w:p>
    <w:p>
      <w:r>
        <w:rPr>
          <w:b/>
        </w:rPr>
        <w:t>E. 14</w:t>
      </w:r>
    </w:p>
    <w:p>
      <w:r>
        <w:t>S'agissant de l'aspect psychiatrique, le recourant a sollicité une expertise judiciaire, principalement en vue de démontrer la présence de troubles l'empêchant de se soumettre à une mesure de reconditionnement. L'expert a également mis en évidence le fait que la sphère psychologique du recourant devait être explorée, car elle pourrait expliquer les réactions oppositionnelles du recourant devant toute proposition de mesure de réinsertion / reconditionnement physique (expertise p. 20), que des facteurs psychologiques / psychiatriques intervenaient dans les possibilités réelles de réadaptation (expertise p. 22) et que les mécanismes psychologiques empêchaient le recourant de s'investir dans un processus de restauration fonctionnelle du rachis (expertise p. 23). A cet égard,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t>Il incombera en conséquence à l'intimé d'examiner dans quelle mesure un traitement, par le biais d'un reconditionnement, comme l'expert judiciaire l'a mentionné, est exigible du recourant et, dans ce cadre, de procéder, au besoin, à l'évaluation de l'atteinte psychiatrique alléguée. Il ne sera donc pas donné suite à la requête du recourant visant à la mise sur pied d'une expertise judiciaire, celle-ci n'étant, en l'état, pas jugée nécessaire.</w:t>
      </w:r>
    </w:p>
    <w:p>
      <w:r>
        <w:rPr>
          <w:b/>
        </w:rPr>
        <w:t>E. 15</w:t>
      </w:r>
    </w:p>
    <w:p>
      <w:r>
        <w:t>La chambre de céans constate, sur la base de l'expertise judiciaire, qu'au jour de la décision litigieuse, le 7 août 2013, aucun motif de révision du trois-quarts de rente d'invalidité du recourant n'était réalisé, l'état de santé de celui-ci entraînant encore une incapacité de travail de 50 %; en particulier, il n'était pas possible de retenir une capacité de travail du recourant de 80 %, de surcroît sans reconditionnement, comme l'a estimé l'intimé, en se ralliant à l'avis du SMR du 19 janvier 2013. Partant, la décision litigieuse doit être annulée et il sera dit que le recourant a droit à la continuation du versement de son trois-quarts de rente d'invalidité.</w:t>
      </w:r>
    </w:p>
    <w:p>
      <w:r>
        <w:t>A/2954/2013 - 24/25 -</w:t>
      </w:r>
    </w:p>
    <w:p>
      <w:r>
        <w:rPr>
          <w:b/>
        </w:rPr>
        <w:t>E. 16</w:t>
      </w:r>
    </w:p>
    <w:p>
      <w:r>
        <w:t>Au surplus, la chambre de céans constate que l'aggravation établie par l'expert et aboutissant à une incapacité de travail de 70 % est survenue postérieurement à la décision litigieuse du 7 août 2013; elle ne fait ainsi pas partie de l'objet du présent litige. En effet, de jurisprudence constante, le juge apprécie en règle générale la légalité des décisions entreprises d'après l'état de fait existant au moment où la décision litigieuse a été rendue (ATF 131 V 242 consid. 2.1 p. 243; 121 V 362 consid. 1b p. 366). Les faits survenus postérieurement, et qui ont modifié cette situation, doivent en principe faire l'objet d'une nouvelle décision administrative (ATF 121 V 362 consid. 1b p. 366). Toutes les conditions qui commandent un élargissement du procès au-delà de l'objet de la contestation n'étant pas réalisées, il n'y a pas lieu en l'occurrence d'étendre l'objet du litige (ATF 130 V 501). En revanche, la cause sera renvoyée à l'intimé afin qu'il procède à un nouveau calcul du degré d'invalidité du recourant et rende une nouvelle décision, en tenant compte des constatations de l'expertise rhumatologique judiciaire du 7 août 2013, l'état de santé du recourant s'étant aggravé depuis le 19 août 2014.</w:t>
      </w:r>
    </w:p>
    <w:p>
      <w:r>
        <w:rPr>
          <w:b/>
        </w:rPr>
        <w:t>E. 17</w:t>
      </w:r>
    </w:p>
    <w:p>
      <w:r>
        <w:t>Au surplus, la rente ayant été supprimée par décision du 7 août 2013, il n'y a pas lieu au paiement d'intérêts moratoires (art. 26 al. 2 LPGA).</w:t>
      </w:r>
    </w:p>
    <w:p>
      <w:r>
        <w:rPr>
          <w:b/>
        </w:rPr>
        <w:t>E. 18</w:t>
      </w:r>
    </w:p>
    <w:p>
      <w:r>
        <w:t>Le recourant obtenant gain de cause, une indemnité de CHF 4'000.-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500.-.</w:t>
      </w:r>
    </w:p>
    <w:p>
      <w:r>
        <w:t>A/2954/2013 - 25/25 -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