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ATAS/701/2012 vom 29. Mai 2012</w:t>
      </w:r>
    </w:p>
    <w:p>
      <w:r>
        <w:t>GE Cour de justice, 2012-05-29, FR</w:t>
      </w:r>
    </w:p>
    <w:p>
      <w:r>
        <w:rPr>
          <w:b/>
        </w:rPr>
        <w:t xml:space="preserve">Quelle: </w:t>
      </w:r>
      <w:r>
        <w:t>https://mcp.opencaselaw.ch/entscheid/ge_gerichte_ATAS_701_2012</w:t>
      </w:r>
    </w:p>
    <w:p>
      <w:r>
        <w:t>FR: GE_GERICHTE ATAS/701/2012 du 29 mai 2012</w:t>
      </w:r>
    </w:p>
    <w:p>
      <w:r>
        <w:t>IT: GE_GERICHTE ATAS/701/2012 del 29 maggio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le recours est recevable (art. 60 LPGA).</w:t>
      </w:r>
    </w:p>
    <w:p>
      <w:r>
        <w:rPr>
          <w:b/>
        </w:rPr>
        <w:t>E. 3</w:t>
      </w:r>
    </w:p>
    <w:p>
      <w:r>
        <w:t>Le litige porte sur le droit du recourant à des prestations de l'intimée pour les frais médicaux encourus en raisons des atteintes à la santé qu'il a présentées postérieurement au 22 novembre 2010, singulièrement sur la question de savoir si ces atteintes ont une origine accidentelle.</w:t>
      </w:r>
    </w:p>
    <w:p>
      <w:r>
        <w:t>A/311/2012 - 7/10 -</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w:t>
      </w:r>
    </w:p>
    <w:p>
      <w:r>
        <w:t>A/311/2012 - 8/10 -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Si les pièces médicales versées au dossier permettent de statuer en pleine connaissance de cause sur le litige, la mise en œuvre d'une expertise est superflue et le juge peut s'en dispenser par appréciation anticipée des preuves (ATF 130 II 425 consid. 2.1 p. 428/429), dans le respect du droit d'être entendu de l'assuré.</w:t>
      </w:r>
    </w:p>
    <w:p>
      <w:r>
        <w:t>A/311/2012 - 9/10 -</w:t>
      </w:r>
    </w:p>
    <w:p>
      <w:r>
        <w:rPr>
          <w:b/>
        </w:rPr>
        <w:t>E. 6</w:t>
      </w:r>
    </w:p>
    <w:p>
      <w:r>
        <w:t>En l’espèce, il ressort des pièces médicales au dossier et des déclarations du recourant, non contestées par l’intimé, que le recourant a été victime d’une chute le 22 novembre 2010, (après avoir trébuché sur un seuil, son thorax a heurté l’accoudoir du canapé), qu’il a présenté le 23 novembre 2010 une péricardite (rapport de la Dresse N___________ du 4 mars 2011), que, transféré aux HUG, un diagnostic de péricardite de probable origine virale (I30.9) a été posé (rapport des HUG du 23 novembre 2010), que le diagnostic de péricardite avec épanchement pleural gauche a été confirmé par les Drs L___________ (rapport du 3 avril 2012) et M___________ (rapports des 4 avril et 7 mai 2012), que le recourant a également présenté le 3 décembre 2010 des segments costo-vertébraux raides et des cartilages costo-vertébraux algiques (rapport du Dr D__________ du 8 juillet 2011).</w:t>
      </w:r>
    </w:p>
    <w:p>
      <w:r>
        <w:t>L'assuré estime que la péricardite est d'origine traumatique alors que l'intimé le conteste.</w:t>
      </w:r>
    </w:p>
    <w:p>
      <w:r>
        <w:t>A cet égard, la Dresse M___________, laquelle est une spécialiste en cardiologie, a clairement écarté la possibilité, en particulier au vu de la chute décrite par l'assuré et de l'absence d'un épanchement péricardique autre que discret, d'une origine traumatique de la péricardite présentée par l'assuré (rapport du 4 avril 2012). Elle a précisé que l'épanchement péricardique discret révélé par l'examen tomodensitométrique du 17 décembre 2010 ne modifiait pas son appréciation (rapport du 7 mai 2012). Cet avis rejoint celui du médecin d'arrondissement de la SUVA, le Dr O__________ (rapports des 13 juillet et 14 septembre 2011). Par ailleurs, aucun autre avis médical au dossier ne met en doute les conclusions des Drs M___________ et O__________; en particulier le Dr L___________ ne s'est pas prononcé sur la vraisemblance d'une origine traumatique de la péricardite (rapport du 3 avril 2012); quant à M. D__________, si son avis atteste d'atteintes costo-vertébrales il ne permet pas encore de conclure à une origine traumatique de la péricardite en cause.</w:t>
      </w:r>
    </w:p>
    <w:p>
      <w:r>
        <w:rPr>
          <w:b/>
        </w:rPr>
        <w:t>E. 7</w:t>
      </w:r>
    </w:p>
    <w:p>
      <w:r>
        <w:t>Au vu de ce qui précède, la décision de l'intimé refusant toute prestation, au motif que l'affection en cause n'a pas d'origine accidentelle, ne peut qu'être confirmée et le recours rejeté.</w:t>
      </w:r>
    </w:p>
    <w:p>
      <w:r>
        <w:t>A/311/2012 - 10/10 -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