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ATAS/700/2019 vom 13. August 2019</w:t>
      </w:r>
    </w:p>
    <w:p>
      <w:r>
        <w:t>GE Cour de justice, 2019-08-13, FR</w:t>
      </w:r>
    </w:p>
    <w:p>
      <w:r>
        <w:rPr>
          <w:b/>
        </w:rPr>
        <w:t xml:space="preserve">Quelle: </w:t>
      </w:r>
      <w:r>
        <w:t>https://mcp.opencaselaw.ch/entscheid/ge_gerichte_ATAS_700_2019</w:t>
      </w:r>
    </w:p>
    <w:p>
      <w:r>
        <w:t>FR: GE_GERICHTE ATAS/700/2019 du 13 août 2019</w:t>
      </w:r>
    </w:p>
    <w:p>
      <w:r>
        <w:t>IT: GE_GERICHTE ATAS/700/2019 del 13 agosto 2019</w:t>
      </w:r>
    </w:p>
    <w:p>
      <w:pPr>
        <w:pStyle w:val="Heading2"/>
      </w:pPr>
      <w:r>
        <w:t>Erwägungen</w:t>
      </w:r>
    </w:p>
    <w:p>
      <w:r>
        <w:rPr>
          <w:b/>
        </w:rPr>
        <w:t>E. 33</w:t>
      </w:r>
    </w:p>
    <w:p>
      <w:r>
        <w:t>Par décision du 2 mai 2017, l’assurance a écarté l’opposition de l’assuré, considérant qu’il convenait de distinguer la perte de rendement consécutive aux limitations fonctionnelles des facteurs étrangers à l’invalidité compliquant la réinsertion professionnelle sur le marché primaire de l’emploi. Or, les maîtres professionnels des EPI avaient mis en avant de nombreux points positifs dans leur rapport. Compte tenu des aptitudes décrites dans ledit rapport et au vu de l’éventail des activités manuelles existant dans l’industrie manufacturière légère, on ne pouvait pas s’arrêter uniquement sur le fait que la taille de ses mains était difficilement compatible avec le maniement de toutes petites pièces, ni se limiter aux activités de tannerie ou de reliure suggérées dans le rapport des EPI. Il convenait au contraire de retenir que les limitations fonctionnelles découlant des séquelles accidentelles (notamment circulatoires) empêchaient l’assuré de rester en position statique plus d’une heure sans alternance et de faire de nombreux déplacements. En revanche, l’assuré pouvait maintenir durablement la position assise à la condition de positionner régulièrement sa jambe gauche en extension pour limiter le gonflement de la cheville. Contrairement au SMR qui n’avait pas tenu compte de la problématique circulatoire, le Dr C______ avait intégré cet</w:t>
      </w:r>
    </w:p>
    <w:p>
      <w:r>
        <w:t>A/2349/2017 - 10/28 - aspect dans son appréciation et retenu une perte de rendement de 20%. Pour le reste, c’étaient des facteurs étrangers à l’accident (manque de scolarité, difficultés de lecture du français, absence de connaissances en informatique) qui avaient amené les maîtres professionnels à émettre des réserves sur les possibilités concrètes de reconversion professionnelle de l’assuré dans une activité adaptée à son état de santé. Dès lors, le fait que l’OAI n’ait pas été en mesure de placer l’assuré sur le marché du travail n’était pas déterminant pour apprécier sa capacité résiduelle de travail. Il convenait donc de confirmer une capacité de travail de 80% dans une activité adaptée aux limitations fonctionnelles précitées. S’agissant du revenu d’invalide, l’assurance a estimé qu’il n’y avait aucun motif pour privilégier un seul domaine d’activité, l’assuré n’expliquant au demeurant pas quel domaine il y avait lieu de prendre en considération. Par conséquent, le revenu de base fixé à CHF 53'321.98 pour une capacité de travail de 80% devait être confirmé. Enfin, aucun motif ne justifiait de s’écarter de l’abattement de 5% retenu. En effet, étant donné que le salaire statistique avait déjà été fixé en prenant en référence à des activités au niveau de compétences le plus bas, ne nécessitant pas de formation professionnelle qualifiée, le manque de qualification ne s’ajoutait pas à la mauvaise maîtrise du français, mais faisait partie du même complexe de facteurs ayant des effets identiques sur le revenu d’invalide. Dès lors qu’une diminution de rendement de 20% avait été prise en considération lors de la fixation de la capacité de travail, il n’y avait pas lieu d’effectuer, en plus, un abattement à ce titre. L’assurance ne voyait pas en quoi la nationalité de l’assuré jouait un rôle défavorable, dès lors que celui-ci, au bénéfice d’un permis C, vivait et travaillait en Suisse depuis 1995. Enfin, l’âge était un facteur marginal et se répercutait plutôt à la hausse sur le niveau des salaires auxquels pouvaient prétendre des assurés exerçant des activités simples et répétitives.</w:t>
      </w:r>
    </w:p>
    <w:p>
      <w:r>
        <w:rPr>
          <w:b/>
        </w:rPr>
        <w:t>E. 34</w:t>
      </w:r>
    </w:p>
    <w:p>
      <w:r>
        <w:t>Par communication du 2 mai 2017 également, l’OAI a informé l’assuré qu’il entendait mettre en œuvre une expertise pluridisciplinaire en médecine interne, rhumatologie et orthopédie.</w:t>
      </w:r>
    </w:p>
    <w:p>
      <w:r>
        <w:rPr>
          <w:b/>
        </w:rPr>
        <w:t>E. 35</w:t>
      </w:r>
    </w:p>
    <w:p>
      <w:r>
        <w:t>Le 29 mai 2017, l’assuré (ci-après : le recourant), sous la plume de son conseil, a interjeté recours contre la décision sur opposition du 2 mai 2017, concluant, sous suite de frais et dépens, préalablement, à la suspension de la procédure dans l’attente du résultat de l’expertise pluridisciplinaire mise sur pied par l’OAI et, principalement, à l’annulation de la décision sur opposition querellée, à la constatation que le taux d’invalidité était de 100% et à la condamnation de l’assurance à verser une rente transitoire sur la base du taux d’invalidité précité. À l’appui de sa position, le recourant a notamment considéré qu’il ressortait du rapport des EPI que c’étaient des facteurs médicaux qui expliquaient l’impossibilité de réinsertion dans le circuit économique ordinaire. Une activité à 100% était par conséquent impossible. Même la réalisation du stage aux EPI, à 50%, avec des</w:t>
      </w:r>
    </w:p>
    <w:p>
      <w:r>
        <w:t>A/2349/2017 - 11/28 - mesures de réadaptation, entraînait d’importantes douleurs, obligeant les professionnels à écourter la journée de travail. Dans ces circonstances, il convenait de retenir un taux d’activité inférieur à 50% avec une baisse de rendement de 20%.</w:t>
      </w:r>
    </w:p>
    <w:p>
      <w:r>
        <w:rPr>
          <w:b/>
        </w:rPr>
        <w:t>E. 36</w:t>
      </w:r>
    </w:p>
    <w:p>
      <w:r>
        <w:t>L’assurance (ci-après : l’intimée) a conclu, le 26 juin 2017, au rejet du recours et à la confirmation de la décision attaquée, relevant notamment que le pronostic défavorable émis par le Dr C______ était lié au niveau de scolarité du recourant et à son manque de formation professionnelle. En retenant les seules séquelles accidentelles à la jambe gauche, le médecin précité avait considéré que la capacité de travail était entière, dans une activité adaptée aux limitations fonctionnelles évoquées, avec une diminution de rendement de 20% afin de tenir compte du gonflement de la cheville gauche. En revanche, l’expert avait, à juste titre, fait abstraction des considérations relatives au manque de polyvalence, aux capacités d’apprentissages limitées du recourant, ainsi que des autres troubles maladifs (lombalgies sur discopathie pluri-étagée et obésité) de nature à entraîner également des limitations fonctionnelles. L’intimée relevait également que l’OAI avait ordonné une expertise pluridisciplinaire, notamment en médecine interne et rhumatologie, pour tenir compte de pathologies étrangères à l’accident. Par conséquent, il ne se justifiait pas de suspendre la procédure dans l’attente du résultat de l’expertise ordonnée par l’OAI dès lors que les conclusions des experts ne seraient de toute manière pas pertinentes pour trancher l’objet du présent litige.</w:t>
      </w:r>
    </w:p>
    <w:p>
      <w:r>
        <w:rPr>
          <w:b/>
        </w:rPr>
        <w:t>E. 37</w:t>
      </w:r>
    </w:p>
    <w:p>
      <w:r>
        <w:t>Le 11 juillet 2017, le recourant a persisté dans sa demande de suspension de l’instruction de la cause.</w:t>
      </w:r>
    </w:p>
    <w:p>
      <w:r>
        <w:rPr>
          <w:b/>
        </w:rPr>
        <w:t>E. 38</w:t>
      </w:r>
    </w:p>
    <w:p>
      <w:r>
        <w:t>Par arrêt incident du 2 novembre 2017 (ATAS/983/2017), la chambre de céans a suspendu l’instance jusqu’à ce que l’expertise ordonnée par l’OAI soit rendue.</w:t>
      </w:r>
    </w:p>
    <w:p>
      <w:r>
        <w:rPr>
          <w:b/>
        </w:rPr>
        <w:t>E. 39</w:t>
      </w:r>
    </w:p>
    <w:p>
      <w:r>
        <w:t>Le 9 novembre 2017, le recourant a sollicité la reprise de la procédure, l’expertise dont une copie figurait en annexe, ayant été rendue. À teneur du rapport d’expertise pluridisciplinaire établi le 29 septembre 2017 par les docteurs I______ (orthopédie et traumatologie), J______ (médecine interne générale) et K______ (rhumatologie), médecins auprès du CEMEDEX, un entretien téléphonique avec l’un des maîtres de réadaptation des EPI avait eu lieu le 4 juillet 2017. Il en ressortait que si le matin, cela allait encore, cela devenait de plus en plus difficile pour le recourant l’après-midi. Ils l’avaient ainsi laissé partir à une occasion ou l’autre, car visiblement, les douleurs devenaient insupportables. La position assise à l’établi était possible si la jambe gauche était surélevée sur un escabeau. Cela étant, le recourant devait tout de même se lever de temps à autre pour changer de position et bouger un peu. Lorsque le travail lui plaisait, le recourant était d’autant plus motivé et il avait tendance à oublier ses douleurs. Il avait ainsi pu travailler à la confection d’un chalet miniature en bois, debout à l’établi. Ce travail avait été réalisé sur 2,5 jours et les maîtres de réadaptation n’avaient pas l’impression que cette position debout avait été trop douloureuse.</w:t>
      </w:r>
    </w:p>
    <w:p>
      <w:r>
        <w:t>A/2349/2017 - 12/28 - Prenant notamment en considération ce qui précède, les médecins du CEMEDEX ont retenu les diagnostics suivants avec répercussion sur la capacité de travail : gonarthrose globale gauche prédominante au compartiment externe sur chondropathie condylienne, externe plus qu’interne, et rotulienne, diagnostiquée en 2011, état après fracture séparation-enfoncement du plateau tibial externe le 29 janvier 2014, traitée en urgence à cause d’un syndrome des loges par fixateur externe le même jour, puis le 4 février 2014 par ostéosynthèse par plaque anatomique du plateau tibial externe et œdèmes chroniques douloureux et hypo- dysesthésie de la jambe et de la cheville gauches, post-syndrome des loges traumatique traité par fasciotomie le 29 janvier 2014. À titre de diagnostics sans répercussion sur la capacité d travail, les experts ont retenu une obésité de classe III (BMI 41 kg/m2), une hypertension artérielle traitée et une stéatose hépatique. Ces diagnostics interagissaient entre eux, en ce sens que les douleurs dues aux différentes atteintes s’additionnaient et interagissaient entre elles, ce qui avait une incidence sur les capacités fonctionnelles. D’un point de vue orthopédique, la capacité de travail était nulle dans l’activité habituelle et de 50% dans une activité adaptée respectant les limitations fonctionnelles déjà évoquées par le Dr C______, sans diminution de rendement.</w:t>
      </w:r>
    </w:p>
    <w:p>
      <w:r>
        <w:rPr>
          <w:b/>
        </w:rPr>
        <w:t>E. 40</w:t>
      </w:r>
    </w:p>
    <w:p>
      <w:r>
        <w:t>Par écriture du 20 décembre 2017, le recourant s’est prononcé sur le rapport du 29 septembre 2017 et a relevé que le fait que les experts aient pris contact téléphoniquement avec les EPI ne valait pas complément d’instruction sur le plan professionnel, ces derniers n’ayant pas procédé à de nouvelles observations depuis leurs rapports des 27 mai et 16 juin 2016. Après avoir rappelé les limitations fonctionnelles retenues par les experts et leurs conclusions s’agissant de la capacité de travail, le recourant a considéré, en se référant à des rapports des docteurs F______ et G______ des 30 novembre, respectivement 6 décembre 2017, que la question de l’existence d’une activité adaptée se posait. S’il ne contestait pas la capacité de travail de 50% dans une activité adaptée à ses limitations fonctionnelles, le recourant estimait toutefois qu’une telle activité n’existait pas en dehors d’un milieu protégé. En revanche, il contestait l’absence de diminution de rendement. Enfin, il a conclu à la réalisation d’une observation professionnelle judiciaire, afin de départager les deux rapports que les EPI ont établis à 15 jours d’intervalle, ainsi qu’à l’audition des Drs F______ et G______. Pour le surplus, il persistait dans les conclusions de son recours. En annexe figuraient les pièces suivantes : - Un rapport du 30 novembre 2017 du Dr F______, spécialiste FMH en médecine interne et rhumatologie, qui suivait l’assuré depuis 2012. Pour le Dr F______, l’expertise du CEMEDEX revêtait une pleine valeur probante. Il retenait, pour sa part, un handicap algo-fonctionnelle important secondaire à l’accident assuré, dû majoritairement à la neuropathique séquellaire, qu’il a qualifiée de capricieuse, ainsi qu’à la gonarthrose du genou gauche. La capacité de travail pouvait être estimée à 50% mais ne pouvait être exercée dans un milieu</w:t>
      </w:r>
    </w:p>
    <w:p>
      <w:r>
        <w:t>A/2349/2017 - 13/28 - économique normal, comme cela avait été relevé par les EPI, principalement en raison des répercussions algo-fonctionnelles de la neuropathie versatile. Dans un milieu protégé, une activité professionnelle adaptée pouvait être envisagée à un taux de 50%. - Un rapport de la Dresse G______, spécialiste FMH en médecine interne, dont il ressort que le médecin précité suivait l’assuré depuis le mois de mars 2015. L’évolution et les symptômes de la neuropathie séquellaire étaient imprévisibles, raison pour laquelle le recourant ne pouvait travailler que dans un milieu protégé, à un taux de 50% comme cela ressortait de l’expertise du CEMEDEX.</w:t>
      </w:r>
    </w:p>
    <w:p>
      <w:r>
        <w:rPr>
          <w:b/>
        </w:rPr>
        <w:t>E. 41</w:t>
      </w:r>
    </w:p>
    <w:p>
      <w:r>
        <w:t>Quant à l’intimée, elle s’est prononcée sur le rapport du 29 septembre 2017 par écriture du 24 janvier 2018. Elle a notamment expliqué avoir soumis ce document au Dr C______ qui avait considéré qu’il avait été un peu trop optimiste en retenant un taux de 80%. Cependant, il était d’avis que le taux de 50% procédait d’une appréciation englobant également la problématique du déconditionnement physique lié à l’obésité. Par conséquent, la capacité de travail résiduelle se situait entre 50 et 80%. Conformément à la jurisprudence, il convenait de se référer à la valeur moyenne, de 65% dans le cas d’espèce, dès lors qu’il n’était pas possible de distinguer ce qui relevait des séquelles accidentelles et ce qui relevait d’autres facteurs. L’intimée contestait également le fait que la capacité de travail résiduelle ne puisse être mise à profit que dans le cadre d’un environnement professionnel protégé. En effet, cette conclusion des maîtres socio-professionnels prenait notamment en considération le faible niveau de scolarité du recourant, son manque de formation professionnelle et son âge, lesquels constituaient des facteurs étrangers à l’invalidité dont il n’y avait pas lieu de tenir compte. Les limitations fonctionnelles consécutive aux seules séquelles de l’accident ne rendaient pas irréaliste la mise en œuvre des possibilités résiduelles de travail. Il n’y avait ainsi pas lieu non plus de mettre en œuvre de nouvelles mesures d’observation professionnelle. Enfin, en prenant en considération une capacité résiduelle de travail de 65%, le degré d’invalidité s’élevait à 40%. En annexe figurait le rapport du Dr C______ du 19 janvier 2018, dans lequel ce médecin s’est notamment étonné des conclusions des médecins du CEMEDEX, ceux-ci retenant une capacité de travail de 50%, alors que l’assuré était capable de travailler debout, pendant deux jours et demi, lorsque le travail lui plaisait. Cette situation faisait dire au médecin-conseil de l’assurance que la capacité de travail était supérieure à 50%, à tout le moins sur le plan de l’assurance-accidents, étant rappelé que l’expertise avait été réalisée à la demande de l’OAI et qu’elle prenait notamment en considération tous les problèmes de santé, ne se limitant pas aux seules séquelles accidentelles. Parmi ces troubles figurait une obésité exogène importante laquelle entraînait un essoufflement à l’effort et probablement une</w:t>
      </w:r>
    </w:p>
    <w:p>
      <w:r>
        <w:t>A/2349/2017 - 14/28 - diminution à la tolérance à l’effort, ce qui avait fait dire au rhumatologue du CEMEDEX qu’une perte de poids était souhaitable, le genou étant la seule articulation pour laquelle il avait été démontré une relation entre la douleur et le poids. Par conséquent, sur le plan de l’assurance-accidents, le Dr C______ estimait qu’il avait peut-être été un peu trop optimiste en retenant une diminution de rendement de 20% seulement. En revanche, une capacité de travail de 50% pour les seules suites de l’accident lui paraissait trop pessimiste. Même s’il tenait compte du problème angiologique plus important qu’initialement estimé, la capacité de travail se situait entre les 50% retenus par les médecins du CEMEDEX et les 80% qu’il avait évoqués. Il lui était toutefois difficile de préciser le pourcentage, une différence de 10% ne pouvant véritablement être démontrée objectivement et dépendant beaucoup de la volonté du patient. Quant à la Dresse G______, elle n’expliquait pas dans son courrier reçu le 8 décembre 2017, pour quels motifs seule une activité en milieu protégé était possible. Il en allait de même des conclusions du Dr F______, qui considérait que l’activité adaptée ne pouvait s’exercer dans un milieu économique « normal », ce qui relevait d’une problématique sociale selon le Dr C______ et non pas médicale. Ainsi, s’agissant des suites accidentelles, la capacité de travail se situait entre 50 et 80%.</w:t>
      </w:r>
    </w:p>
    <w:p>
      <w:r>
        <w:rPr>
          <w:b/>
        </w:rPr>
        <w:t>E. 42</w:t>
      </w:r>
    </w:p>
    <w:p>
      <w:r>
        <w:t>Le 19 février 2018, le recourant s’est exprimé au sujet de l’écriture de l’intimée du 24 janvier 2018 et a considéré que la capacité de travail de 65% ne pouvait être retenu pour divers motifs. Tout d’abord, on ne pouvait retenir une moyenne, étant donné que la fourchette était trop importante, la marge d’erreur étant de + 5%. En outre, le dossier comportait des avis contradictoires, raison pour laquelle il convenait de déterminer, selon le principe de la vraisemblance prépondérante, lequel des rapports médicaux s’avérait le plus convaincant, ou en d’autres termes, lequel possédait une force probante. Or, le rapport du CEMEDEX était plus probant que celui du Dr C______. S’agissant de la surcharge pondérale invoquée par le Dr C______ dans son rapport du 19 janvier 2018, elle n’avait pas été prise en considération par les médecins du CEMEDEX. Au demeurant, la surcharge actuelle s’expliquait également par l’accident et la réduction de la mobilité, laquelle avait favorisé une certaine prise de poids. Partant, la surcharge pondérale ne saurait être prise en considération au désavantage du recourant. La dichotomie entre procédure AI et LAA était sans pertinence, dès lors que l’invalidité résultait directement de l’accident, sans aucun élément extérieur. Enfin, le recourant a persisté à soutenir que seule une activité dans un milieu protégé était possible, de sorte que son invalidité devait être fixée à 100%. Subsidiairement, un abattement de 25% devait être appliqué, de sorte que le degré d’invalidité était de 61%, ce qui lui donnait droit à une rente d’un pourcentage identique.</w:t>
      </w:r>
    </w:p>
    <w:p>
      <w:r>
        <w:rPr>
          <w:b/>
        </w:rPr>
        <w:t>E. 43</w:t>
      </w:r>
    </w:p>
    <w:p>
      <w:r>
        <w:t>L’intimée s’est prononcée le 6 mars 2018 et a considéré que le principe de libre appréciation des preuves ne s’opposait pas à ce que le taux de capacité résiduelle soit fixé en retenant la moyenne des taux évoqués par les deux experts, lesquels</w:t>
      </w:r>
    </w:p>
    <w:p>
      <w:r>
        <w:t>A/2349/2017 - 15/28 - présentaient les mêmes garanties d’impartialité et de compétences professionnelles. Par ailleurs, le surpoids était un facteur étranger, lequel influençait négativement les possibilités du recourant à mettre à profit la capacité résiduelle de travail exigible, au même titre que le manque de formation et de maîtrise de la langue française.</w:t>
      </w:r>
    </w:p>
    <w:p>
      <w:r>
        <w:rPr>
          <w:b/>
        </w:rPr>
        <w:t>E. 44</w:t>
      </w:r>
    </w:p>
    <w:p>
      <w:r>
        <w:t>Le 19 juin 2018, le recourant a transmis à la chambre de céans le projet d’acceptation de rente d’invalidité daté du 15 juin 2018, dont il ressort que l’OAI avait retenu une incapacité de travail de 50% dans une activité adaptée, conduisant à un degré d’invalidité de 56%. Par courrier du 9 octobre 2018, il a produit la décision du 4 octobre 2018, confirmant le projet du 15 juin 2018.</w:t>
      </w:r>
    </w:p>
    <w:p>
      <w:r>
        <w:rPr>
          <w:b/>
        </w:rPr>
        <w:t>E. 45</w:t>
      </w:r>
    </w:p>
    <w:p>
      <w:r>
        <w:t>Sur ce, la cause a été gardée à juger.</w:t>
      </w:r>
    </w:p>
    <w:p>
      <w:r>
        <w:t>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de la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loi sur la procédure administrative du 12 septembre 1985 [LPA - E 5 10]). Interjeté dans la forme et le délai prévus par la loi, le recours est recevable (art. 56 ss LPGA et 62 ss LPA).</w:t>
      </w:r>
    </w:p>
    <w:p>
      <w:r>
        <w:t>A/2349/2017 - 16/28 - 5. Le litige porte sur le droit du recourant à une rente d’invalidité supérieure à 40%, singulièrement sur sa capacité de travail et le calcul du degré d’invalildité.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b. Selon l'art. 18 al. 1er LAA, si l’assuré est invalide (art. 8 LPGA) à 10 % au moins par suite d’un accident, il a droit à une rente d’invalidité. La notion d'invalidité, définie à l'art. 8 LPGA, est en principe identique en matière d'assurance-accidents, d'assurance militaire et d'assurance-invalidité. Est ainsi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A/2349/2017 - 17/28 -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w:t>
      </w:r>
    </w:p>
    <w:p>
      <w:r>
        <w:t>A/2349/2017 - 18/28 - contexte, que le simple fait qu'un avis médical divergent - même émanant d'un spécialiste - ait été produit ne suffit pas à lui seul à remettre en cause la valeur probante d'un rapport médical (arrêt du Tribunal fédéral des assurances U 365/06 du 26 janvier 2007 consid. 4.1). c/cc.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Le rôle d’un centre d’observation professionnelle n’est ainsi pas de se prononcer sur l’état de santé de la personne concernée et sur les répercussions d’une éventuelle atteinte à la santé sur l’aptitude au travail (arrêt du Tribunal fédéral 9C_631/2007 du 4 juillet 2008, consid. 4.1).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w:t>
      </w:r>
    </w:p>
    <w:p>
      <w:r>
        <w:t>A/2349/2017 - 19/28 -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Cette jurisprudence, rendue en matière d’assurance-invalidité, trouve application, par analogie, en matière d’assurance-accidents étant donné que la notion d’invalidité est identique dans ces deux domaines (voir ATAS/526/2012 du 19 avril 2012 consid. 8a).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En l’espèce, le recourant conteste tout d’abord la capacité de travail de 65% retenue par l’intimée. Il convient dès lors d’examiner la valeur probante des pièces au dossier.</w:t>
      </w:r>
    </w:p>
    <w:p>
      <w:r>
        <w:t>A/2349/2017 - 20/28 - a. Au dossier figurent tout d’abord deux rapports établis par les EPI les 27 mai et 16 juin 2016. Une lecture approfondie de ces documents permet de constater que la description des capacités et compétences du recourant est identique dans les deux rapports, la seule différence concernant en réalité les conclusions, lesquelles sont plus nuancées dans le second rapport. Abstraction faite des conclusions, il ressort des deux rapports que la position debout, tant dynamique que statique, est mal tolérée. À deux reprises, le recourant avait dû rentrer chez lui avant la fin de la journée, en raison d’une forte douleur et de difficultés à mouvoir normalement sa jambe gauche. Il avait toutefois pu travailler à l’établi en position debout, pour des durées assez longues, d’environ une heure, sans alternance. Cependant, ces activités s’étaient régulièrement soldées par des douleurs et avaient dû être arrêtées. La position assise pouvait être maintenue durablement durant une journée complète mais le recourant devait régulièrement positionner sa jambe en extension (sur un tabouret ou autres) afin de limiter le gonflement de sa cheville. À une reprise, le recourant avait dû rentrer chez lui en milieu d’après-midi en raison de fortes douleurs dans le dos. Il ne possédait pas une motricité assez fine pour envisager une orientation dans le monde horloger, la taille et la rigidité de ses mains étant difficilement compatibles avec la manipulation de toutes petites pièces. Le rythme de travail était parfois lent dans les activités de façonnage, le recourant prenant grand soin de ce qu’il faisait, afin d’atteindre la perfection. Il ne maîtrisait pas bien le français et il n’avait aucune connaissance en informatique. Son autonomie dans les activités manuelles était toutefois bonne et exploitable. Les maîtres socio-professionnels n’avaient pas été en mesure de trouver des stages en entreprise, les contraintes liées à la nécessité de la position assise, au manque de polyvalence et à la capacité d’apprentissage limitée étant des facteurs trop limitants pour les entreprises. Dans la mesure où les constatations objectives, pertinentes en l’espèce, sont identiques dans les deux rapports, il n’y a pas lieu de mettre sur pied une observation professionnelle judiciaire comme cela est demandé par le recourant dans son écriture du 20 décembre 2017. b. Sur le plan médical, le dossier comprend des appréciations de médecins mandatés par les assurances, lesquels ont pris en considération les rapports des EPI pour se prononcer sur la capacité de travail. Ainsi, l’assurance-accidents intimée a mandaté le Dr C______, qui a établi son rapport principal en date du 21 octobre 2015 et qui l’a complété, s’agissant de l’évaluation de la capacité de travail, les 7 septembre 2016 et 19 janvier 2018. Quant à l’OAI, il a mandaté le CEMEDEX, dont les médecins ont établi leur rapport en date du 29 septembre 2017. Force est de constater que tant le rapport du Dr C______ et ses compléments que le rapport du CEMEDEX remplissent la plupart des réquisits jurisprudentiels en matière de valeur probante : ils contiennent le résumé du dossier, une anamnèse détaillée, les indications subjectives du recourant, des observations cliniques, ainsi qu’une discussion générale du cas.</w:t>
      </w:r>
    </w:p>
    <w:p>
      <w:r>
        <w:t>A/2349/2017 - 21/28 - Sur le fond, tant le Dr C______ que les médecins du CEMEDEX ont considéré qu’en raison de l’atteinte à la jambe gauche, l’activité habituelle d’aide-jardinier n’était plus exigible. Il existait toutefois une capacité de travail dans une activité adaptée aux limitations fonctionnelles suivantes : activité semi-assise, sans déplacement fréquent, sans nécessité de descendre ou de monter trop fréquemment des escaliers, sans terrain irrégulier, sans port de charges supérieures à 10-15 kg de manière répétitive. Les conclusions du Dr C______ s’éloignent toutefois de celles des médecins du CEMEDEX s’agissant de la capacité de travail. Dans son rapport du 7 septembre 2016, il a estimé qu’au vu des constatations faites par les maîtres de réadaptation en situation, la capacité de travail était entière avec une diminution de rendement qu’il avait chiffrée à 20% pour permettre des pauses plus longues qu’habituellement afin que le recourant puisse soulager sa jambe gauche. En revanche, pour les médecins du CEMEDEX, la capacité de travail était de 50% afin de tenir compte de la péjoration de l’état de santé du recourant en deuxième partie de journée, comme cela avait notamment été expliqué par les maîtres socio-professionnels lors d’un entretien téléphonique. Après avoir pris connaissance du rapport des médecins du CEMEDEX, le Dr C______ a considéré qu’il avait peut-être été trop optimiste dans son estimation de la capacité de travail mais que les médecins du CEMEDEX étaient trop pessimistes. Partant, il était d’avis que la capacité de travail résiduelle du recourant se situait entre 50% et 80%. Il appartient dès lors à la chambre de céans de déterminer s’il convient de donner plus de poids aux conclusions du CEMEDEX (capacité de travail de 50%) ou au Dr C______ (capacité de travail entre 50% et 80%). Une lecture attentive et approfondie des rapports des EPI et de l’expertise du CEMEDEX permet de remarquer qu’une capacité de travail de 50% seulement telle que retenue par les médecins du CEMEDEX s’éloigne des constatations faites en situation par les maîtres de réadaptation. En effet, il ressort tout d’abord des deux rapports des EPI que le recourant a dû rentrer chez lui avant la fin de la journée à trois reprises seulement sur les 35 jours à 100% qu’a duré la mesure. En outre, les maîtres socio-professionnels ont constaté que la position assise pouvait être maintenue durablement durant une journée complète, mais que le recourant devait régulièrement positionner sa jambe en extension (sur un tabouret ou autres) afin de limiter le gonflement de sa cheville. En réalité, c’est uniquement la position debout (dynamique ou statique) qui n’est pas tolérée, même si le recourant a pu travailler à l’établi pendant deux jours et demi, comme cela a été indiqué à l’expert du CEMEDEX lors d’un entretien téléphonique du 4 juillet 2017. Ces constatations sont identiques dans les deux rapports. Dans de telles conditions, la chambre de céans ne peut que s’étonner des conclusions des médecins du CEMEDEX (50%), et s’en écarter. Elle est en revanche convaincue par les dernières conclusions du Dr C______ (entre 50% et 80%).</w:t>
      </w:r>
    </w:p>
    <w:p>
      <w:r>
        <w:t>A/2349/2017 - 22/28 - Ainsi, conformément à la jurisprudence fédérale, lorsqu’un rapport médical indique la capacité de travail sous la forme d'une fourchette de valeurs, il convient en règle générale de se fonder sur la valeur moyenne, ce qui permet d'éviter les inégalités de traitement résultant de ce genre d'évaluation (voir l’arrêt du Tribunal fédéral 9C_280/2010 du 12 avril 2010 consid. 4.2 et les références citées). Contrairement aux allégations du recourant, la jurisprudence fédérale ne comporte aucune limitation à une fourchette d’au maximum 10%, de sorte qu’il n’y a aucune raison pour ne pas l’appliquer au cas d’espèce. Au demeurant, dans des cas similaires, la chambre de céans a appliqué cette règle à des fourchettes supérieures à 10% (voir notamment l’ATAS/556/2017 du 27 juin 2017, l’ATAS/915/2016 du 7 novembre 2016 ou encore l’ATAS/913/2014 du 18 août 2014). Partant, c’est donc bien une capacité de travail de 65% qu’il convient de retenir. Au demeurant, une capacité de travail de 65% revient à moins de six heures de travail par jour, ce qui paraît largement compatible avec les constatations des maîtres de réadaptation des EPI. e. Quant aux rapports des Drs E______, F______ et G______, ils ne répondent à aucun des réquisits judiciaires, leurs conclusions étant notamment peu, voire pas motivées. f. S’agissant enfin de la demande d’audition des médecins du CEMEDEX ainsi que des Drs F______ et G______, elle sera rejetée par appréciation anticipée des preuves, les pièces au dossier étant suffisantes pour se prononcer. 10. Le recourant invoque également le caractère irréaliste de l’activité adaptée.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w:t>
      </w:r>
    </w:p>
    <w:p>
      <w:r>
        <w:t>A/2349/2017 - 23/28 -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(VSI 1998 p. 293). En d'autres termes, il s'agit uniquement de savoir si, compte tenu de son état de santé, il est à même d'exercer une activité déterminée sans que l'on ait à rechercher s'il va trouver un employeur disposé à lui confier ce travail. Si l'on tenait compte des fluctuations de l'offre et de la demande sur le marché du travail, on aboutirait à ce résultat qu'un assuré serait tantôt admis à bénéficier de la rente et tantôt ne le serait pas suivant que les offres d'emploi seraient peu nombreuses ou au contraire abondantes. Les décisions de l'AI finiraient par être dépourvues de tout fondement objectif. L'administration n'a pas à démontrer l'existence d'offres de travail concrètes disponibles correspondant aux limitations de l'assuré (arrêt du Tribunal fédéral 9C_633/2016 du 28 décembre 2016). À noter, dans ce contexte, que s'il est vrai que des facteurs tels que l'âge et le manque de formation jouent un rôle non négligeable pour déterminer dans un cas concret les activités que l'on peut encore raisonnablement exiger d'un assuré, le Tribunal fédéral a déjà rappelé à maintes reprises qu'ils ne constituent pas des circonstances supplémentaires qui, à part le caractère raisonnablement exigible d'une activité, sont susceptibles d'influencer l'étendue de l'invalidité, même s'ils rendent parfois difficile, voire impossible, la recherche d'une place et, partant,</w:t>
      </w:r>
    </w:p>
    <w:p>
      <w:r>
        <w:t>A/2349/2017 - 24/28 - l'utilisation de la capacité de travail résiduelle (arrêt du Tribunal fédéral 9C_44/2018 du 3 avril 2018 consid. 4.2 ; arrêt du Tribunal fédéral des assurances I 381/06 du 30 avril 2007 consid. 5.2) b. En l’espèce, le recourant considère que le marché du travail n’offre pas d’activité réaliste adaptée à ses limitations fonctionnelles. En effet, les diverses entreprises du canton qui ont été contactées par les EPI ont toutes indiqué que les limitations fonctionnelles ne leur permettaient pas de l’intégrer dans leur personnel. Cette constatation a d’ailleurs été confirmée par les Drs F______ et G______, raison pour laquelle il sollicite leur audition. La chambre de céans ne saurait suivre cette argumentation. En effet, les maîtres socio-professionnels des EPI ont pris en considération, dans leur appréciation de la capacité du recourant à reprendre une activité dans le circuit ordinaire, des éléments qui ne sont pas liés à l’atteinte à la santé invalidante, laquelle touche exclusivement le membre inférieur gauche. Ils ont ainsi exclu de leurs recherches les entreprises actives dans l’horlogerie, la motricité du recourant n’étant pas assez fine, vu la taille et la rigidité de ses mains, pour envisager une orientation dans ce domaine. Ils ont également évoqué la lenteur du recourant dans l’accomplissement des tâches qui lui ont été confiées, laquelle est en réalité liée à son souhait d’atteindre la perfection et non à l’atteinte à la santé. Quant au faible niveau de français et à l’absence de connaissances en informatique, il s’agit également de facteurs étrangers à l’invalidité, de sorte qu’il n’y a pas lieu d’en tenir compte lors de la détermination de l’activité adaptée (voir dans le même sens les arrêts du Tribunal fédéral 8C_175/2017 du 30 octobre 2017 consid. 5.3, 9C_603/2015 du 25 avril 2016 consid. 6.1.1 et 9C_286/2015 du 12 janvier 2016 consid. 4). Par ailleurs, contrairement aux allégations du recourant, les entreprises contactées n’ont pas refusé de l’engager en raison des seules limitations fonctionnelles. Elles ont également évoqué le parcours professionnel, la capacité d’apprentissage limitée, ainsi que le manque de polyvalence, lesquels sont des facteurs étrangers à l’invalidité. En réalité, seule la contrainte de la position assise constitue une limitation fonctionnelle découlant de l’atteinte accidentelle. Cette seule limitation ne saurait toutefois à elle seule rendre illusoire la recherche d’une activité professionnelle. En effet, selon la jurisprudence, l’exercice d’une activité non qualifiée exclusivement monomanuelle n’est pas considéré comme irréaliste sur un marché équilibré du travail (cf. arrêts du Tribunal fédéral 9C_633/2016 du 28 décembre 2016 consid. 4.3 et 8C_670/2015 du 12 février 2016 consid. 4.3). A fortiori, un marché équilibré du travail est sans conteste en mesure d’offrir des postes que l’on peut occuper assis (voir ATAS/1228/2018 du 27 décembre 2018 dans le même sens). Partant, les contraintes liées à la position assise ne suffisent pas à considérer que le recourant - dont les qualités et la motivation ont par ailleurs été unanimement reconnues par les différents intervenants - ne peut pas mettre en valeur sa capacité</w:t>
      </w:r>
    </w:p>
    <w:p>
      <w:r>
        <w:t>A/2349/2017 - 25/28 - résiduelle de travail à temps plein, avec toutefois une diminution de rendement, dans une activité adaptée. À noter dans ce contexte que les médecins de la CRR avaient souligné, au printemps 2015 déjà, que le pronostic de réinsertion dans une activité adaptée aux limitations fonctionnelles était négatif en raison de facteurs non médicaux (âge, absence de formation certifiante, situation socio-professionnelle et échec dans la recherche d’emplois moins lourds physiquement trois ans auparavant). 11. Le recourant conteste enfin le calcul du degré d’invalidité et plus particulièrement l’importance de l’abattement opéré par l’intimée, considérant qu’un abattement de 25% devait être appliqué au revenu avec invalidité retenu.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12. En l’espèce, le recourant ne remet pas en question le montant des revenus pris en considération pour la comparaison des revenus. En revanche, il conteste le taux d’abattement de 5% que l’intimée a retenu, considérant que celui-ci devrait être porté à 25% afin de tenir compte des limitations fonctionnelles, des années de service en tant qu’employé non qualifié, ainsi que de sa nationalité.</w:t>
      </w:r>
    </w:p>
    <w:p>
      <w:r>
        <w:t>A/2349/2017 - 26/28 - a. En lien avec le critère afférent aux limitations fonctionnelles, l’intimée a estimé, dans sa décision sur opposition, que dans la mesure où la diminution de rendement de 20% avait été prise en considération dans la fixation de la capacité de travail, il n’y avait pas lieu de procéder à un abattement à ce titre. C’est le lieu de relever que les limitations fonctionnelles et la diminution de rendement ne se confondent pas forcément. Certes, le Tribunal fédéral a considéré que lorsqu'un assuré était capable de travailler à plein temps, mais avec une diminution de rendement, celle-ci était prise en considération dans la fixation de la capacité de travail et il n'y avait donc pas lieu, en sus, d'effectuer un abattement à ce titre (arrêts du Tribunal fédéral 9C_677/2012 du 3 juillet 2013 consid. 2.2 et 8C_93/2013 du 16 avril 2013 consid. 5.4). Dans ce contexte, l’assimilation limitations fonctionnelles et diminution de rendement comme le fait l’intimée trouve application lorsque la diminution de rendement est due aux limitations fonctionnelles énoncées par les experts, telles que la nécessité de permettre des périodes de repos (arrêt du Tribunal fédéral 9C_40/2011 du 1er avril 2011 consid. 2.3.1) et que par conséquent, indirectement, les limitations fonctionnelles sont prises en considération lors de l’appréciation de la capacité de travail résiduelle. Dans le cas d’espèce, tant le Dr C______ que le Dr D______ ont retenu de nombreuses limitations fonctionnelles : activité semi-assise, n’impliquant pas l’utilisation de l’odorat, sans déplacements fréquents, sans montée ou descente fréquente et sans port de charges supérieures à 10-15 kg de manière répétitive. Ces limitations fonctionnelles n’entraînent pas à elles seules une diminution de rendement. Partant, l’intimée ne peut considérer que les limitations fonctionnelles ont déjà été prises en considération lors de la fixation de l’exigibilité, dès lors que la diminution de rendement est en réalité due à la nécessité d’aménager des pauses supplémentaires, pour permettre au recourant de surélever sa jambe. Or, cet élément a été évoqué en lien avec la diminution de rendement et non avec les limitations fonctionnelles. En conclusion, les limitations fonctionnelles doivent être prises en considération lors de la détermination de l’abattement. b. S’agissant ensuite des années de service, elles ne constituent pas le seul critère de fixation du salaire dans une nouvelle profession, mais l'expérience acquise lors des précédentes activités professionnelles a une influence tout aussi importante. C'est pourquoi le Tribunal fédéral a considéré que l'influence de la durée de service diminue, dans la mesure où les exigences d'un emploi dans le secteur privé sont moins élevées, de sorte qu'un abattement pour années de service n'est pas justifié dans le cadre du niveau de qualification 4 de l'ESS (ATF 126 V 75 consid. 5 b/bb; arrêt du Tribunal fédéral 9C_874/2014 du 2 septembre 2015 consid. 3.3.2 et les références). L’intimée ayant retenu le niveau de qualification 4 de l’ESS, ce qui n’est pas contesté par le recourant, le critère des années de service n’entre pas en considération dans l’estimation de l’abattement global.</w:t>
      </w:r>
    </w:p>
    <w:p>
      <w:r>
        <w:t>A/2349/2017 - 27/28 - c. Enfin, quant au critère de la nationalité, force est de constater que dans plusieurs arrêts, le Tribunal fédéral a nié la pertinence du critère de la nationalité dans le cas d’une personne titulaire d’un permis C, dès lors que selon les statistiques, le revenu d’hommes au bénéfice d’un permis C et exerçant des activités simples et répétitives (niveau 4) était certes moins élevé que celui réalisé par les Suisses, mais plus important que le revenu moyen pertinent pour la détermination de l’invalidité (voir notamment l’arrêt du Tribunal fédéral 8C_594/2011 du 20 octobre 2011, ainsi que les ESS 2006, Tabelle TA12 notamment). Partant, ce critère ne peut pas non plus être pris en considération dès lors que, comme cela a été relevé ci-dessus, l’intimée a retenu le niveau de qualification 4, ce qui n’a pas été contesté par le recourant. d. Au vu de ce qui précède, la chambre de céans est d’avis qu’un abattement de 10% aurait dû être pris en considération afin de tenir compte des nombreuses limitations fonctionnelles du recourant, dès lors que la diminution de rendement est en réalité due à la nécessité de pouvoir étendre la jambe et non pas à l’ensemble des limitations fonctionnelles retenues par les médecins. 13. Reste à procéder au calcul du degré d’invalidité en retenant un abattement de 10%. Les parties retiennent un revenu sans invalidité de CHF 68'267.25, dont il n’y a pas lieu de s’écarter. S’agissant du revenu d’invalide, les parties s’accordent à retenir le salaire statistique tiré d’activités simples et répétitives pour un homme (ESS 2014, TA1_tirage_skill_level, Ligne Total = CHF 5'312.- CHF/mois = 63'744.- CHF/an = CHF 66'652.47 après indexation et adaptation à la durée normale de travail de 41.7 h./sem.), étant précisé que le calcul s’opère selon les tables en vigueur au jour de la décision attaquée. En considérant que le recourant est capable d’exercer son activité à 65%, le salaire s’élève à CHF 43'324.10 et à CHF 38'991.69 après abattement de 10%. Après comparaison des revenus, le degré d’invalidité est de 43% ([CHF 68'267.25 – CHF 38'991.69] / CHF 68'267.25= 42.88%) 14. Au vu de ce qui précède, le recours sera partiellement admis et la décision sur opposition du 2 mai 2017 sera annulée. Il sera constaté que le recourant a droit à une rente d’invalidité de 43%. Le recourant obtenant partiellement gain de cause, une indemnité de CHF 1'500.- lui sera accordée à titre de participation à ses frais et dépens, à charge de l’intimée (art. 61 let. g LPG ; art. 89H al. 3 LPA ; art. 6 du règlement sur les frais, émoluments et indemnités en procédure administrative du 30 juillet 1986 - RFPA ; RS E 5 10.03). La procédure est gratuite (art. 61 let. a LPGA).</w:t>
      </w:r>
    </w:p>
    <w:p>
      <w:r>
        <w:t>A/2349/2017 - 28/28 -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