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ATAS/700/2017 vom 22. August 2017</w:t>
      </w:r>
    </w:p>
    <w:p>
      <w:r>
        <w:t>GE Cour de justice, 2017-08-22, FR</w:t>
      </w:r>
    </w:p>
    <w:p>
      <w:r>
        <w:rPr>
          <w:b/>
        </w:rPr>
        <w:t xml:space="preserve">Quelle: </w:t>
      </w:r>
      <w:r>
        <w:t>https://mcp.opencaselaw.ch/entscheid/ge_gerichte_ATAS_700_2017</w:t>
      </w:r>
    </w:p>
    <w:p>
      <w:r>
        <w:t>FR: GE_GERICHTE ATAS/700/2017 du 22 août 2017</w:t>
      </w:r>
    </w:p>
    <w:p>
      <w:r>
        <w:t>IT: GE_GERICHTE ATAS/700/2017 del 22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droit du recourant à des prestations d’invalidité, plus précisément sur le point de savoir si son état de santé a subi une aggravation influant sur son droit aux prestations depuis la dernière décision au fond de l’intimé. C’est ici le lieu de rappeler que selon une jurisprudence constante, le juge des assurances sociales apprécie la légalité des décisions attaquées d'après l'état de fait existant au moment où la décision litigieuse a été rendue. Les faits qui sont survenus postérieurement et ont modifié cette situation doivent en règle générale faire l'objet d'une nouvelle décision administrative.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du Tribunal fédéral 9C_34/2017 du 20 avril 2017 consid. 5.2).</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A/971/2017 - 9/14 -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7</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w:t>
      </w:r>
    </w:p>
    <w:p>
      <w:r>
        <w:t>A/971/2017 - 10/14 - d'ordre médical et leur incidence sur la capacité de gain de l'assuré a été considérée comme une base de comparaison déterminante (arrêt du Tribunal fédéral 9C_123/2011 du 7 novembre 2011 consid. 4). Lorsque l’administration entre en matière sur une nouvelle demande,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pour déterminer si une modification notable du taux d'invalidité justifiant la révision du droit en question est intervenue (arrêt du Tribunal fédéral 9C_573/2013 du 29 juillet 2014 consid. 2.2).</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w:t>
      </w:r>
    </w:p>
    <w:p>
      <w:r>
        <w:t>A/971/2017 - 11/14 -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w:t>
      </w:r>
    </w:p>
    <w:p>
      <w:r>
        <w:t>A/971/2017 - 12/14 -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w:t>
      </w:r>
    </w:p>
    <w:p>
      <w:r>
        <w:rPr>
          <w:b/>
        </w:rPr>
        <w:t>E. 10</w:t>
      </w:r>
    </w:p>
    <w:p>
      <w:r>
        <w:t>En l’espèce, la chambre de céans précisera en préambule que la survenance d’une aggravation doit être analysée en comparant la situation du recourant à celle qui était la sienne en 2003 et 2004. C’est en effet dans le cadre de la procédure d’instruction ayant conduit à l’octroi d’une demi-rente en janvier 2004 que l’intimé a pour la dernière fois procédé à un examen matériel du droit à la rente au sens de la jurisprudence précitée. Les communications du 15 juin 2006 et du 14 juin 2010 faisaient en effet suite à de simples demandes de renseignements auprès du médecin traitant, sans nouvelle analyse des circonstances et sans comparaison des revenus, ce qui ne constitue pas un examen matériel suffisant conformément à cette même jurisprudence. Si l’intimé est entré en matière sur la nouvelle demande du recourant du 11 avril 2016 après avoir pris connaissance des rapports médicaux établis depuis 2014, il l’a rejetée en se référant aux conclusions du SMR, qui considérait que les nouveaux éléments ne modifiaient pas sa précédente approbation. En premier lieu, il convient de souligner que l’avis du Dr I______ du 19 décembre 2016 ne satisfait à l’évidence pas aux réquisits jurisprudentiels en matière de valeur probante de rapports médicaux. Il apparaît en outre se fonder sur une méconnaissance du dossier : le Dr I______, à l’instar d’ailleurs du Dr F______, a retenu que le recourant avait une pleine capacité de travail dans une activité adaptée. Or, le Dr D______ avait en 2002 conclu à une capacité de travail de 50 % seulement dans une activité adaptée. Le stage d’observation avait conduit l’intimé à retenir que la capacité résiduelle de travail du recourant n’était que de 45 %, compte tenu de ses atteintes à la santé et de la diminution de rendement qu’elles entraînaient, et ce bien que sa coopération et sa collaboration fussent irréprochables. Par ailleurs, selon le Dr I______, la capacité de travail du recourant est pleine dans une activité adaptée, laquelle ne doit pas comprendre de travaux impliquant le bras droit ou des activités bimanuelles. Ces limitations fonctionnelles</w:t>
      </w:r>
    </w:p>
    <w:p>
      <w:r>
        <w:t>A/971/2017 - 13/14 - ne tiennent aucun compte de l’atteinte au genou, pourtant prise en considération en 2004. De plus, ni le Dr F______ ni le Dr I______ ne se sont prononcés sur les nouvelles atteintes apparues dans l’intervalle. Le recourant présente en effet une hernie discale depuis 2007. Il souffre par ailleurs de lombosciatalgies depuis 2009, dont le Dr E______ a admis l’incidence sur la capacité de travail. Il semble en outre que sa pathologie à l’épaule se soit aggravée. Le recourant a également présenté une ténosynovite sténosante de l’annulaire gauche, dont on ignore s’il s’agit d’une atteinte durable. Le SMR n’a tenu aucun compte de ces atteintes. À ce sujet, on ne peut en particulier pas suivre la Dresse K______ lorsqu’elle affirme que l’aggravation des atteintes lombaires et de l’épaule droite est postérieure à la décision litigieuse. Comme on l’a vu, les douleurs lombaires ont été signalées dès 2009. Quant à l’atteinte de l’épaule droite, son aggravation paraît ressortir notamment du rapport du Dr G______ du 17 novembre 2014. Enfin, de nouvelles limitations fonctionnelles paraissent affecter la capacité de gain du recourant. Le Dr I______ exclut en effet les activités bimanuelles, alors que de telles activités n’étaient pas totalement proscrites en 2004. Au vu de ces éléments, c’est à tort que l’intimé a retenu que la situation du recourant ne s’était pas modifiée. Il n’existe cependant au dossier aucun rapport médical en tous points conforme aux exigences dégagées par le Tribunal fédéral permettant de déterminer dans quelle mesure la capacité de travail et de gain du recourant a évolué depuis la décision de janvier 2004.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 n’a pas instruit à satisfaction de droit la situation médicale du recourant. Il lui appartiendra ainsi de mettre en œuvre une expertise rhumatologique afin de déterminer si l’état de santé du recourant s’est aggravé depuis janvier 2004, avant d’examiner les conséquences économiques d’une éventuelle aggravation en procédant à un nouveau calcul du degré d’invalidité.</w:t>
      </w:r>
    </w:p>
    <w:p>
      <w:r>
        <w:rPr>
          <w:b/>
        </w:rPr>
        <w:t>E. 11</w:t>
      </w:r>
    </w:p>
    <w:p>
      <w:r>
        <w:t>Eu égard à ce qui précède, le recours est partiellement admis. Le recourant, qui n’est pas représenté, n’a pas droit à des dépens (art. 61 let. g LPGA). La procédure en matière d’assurance-invalidité n'étant pas gratuite (art. 69 al. 1bis LAI), l’intimé sera condamné au paiement d’un émolument de CHF 200.-.</w:t>
      </w:r>
    </w:p>
    <w:p>
      <w:r>
        <w:t>A/971/2017 - 14/14 -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