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ATAS/700/2013 vom 27. Juni 2013</w:t>
      </w:r>
    </w:p>
    <w:p>
      <w:r>
        <w:t>GE Cour de justice, 2013-06-27, FR</w:t>
      </w:r>
    </w:p>
    <w:p>
      <w:r>
        <w:rPr>
          <w:b/>
        </w:rPr>
        <w:t xml:space="preserve">Quelle: </w:t>
      </w:r>
      <w:r>
        <w:t>https://mcp.opencaselaw.ch/entscheid/ge_gerichte_ATAS_700_2013</w:t>
      </w:r>
    </w:p>
    <w:p>
      <w:r>
        <w:t>FR: GE_GERICHTE ATAS/700/2013 du 27 juin 2013</w:t>
      </w:r>
    </w:p>
    <w:p>
      <w:r>
        <w:t>IT: GE_GERICHTE ATAS/700/2013 del 27 giugno 2013</w:t>
      </w:r>
    </w:p>
    <w:p>
      <w:pPr>
        <w:pStyle w:val="Heading2"/>
      </w:pPr>
      <w:r>
        <w:t>Erwägungen</w:t>
      </w:r>
    </w:p>
    <w:p>
      <w:r>
        <w:rPr>
          <w:b/>
        </w:rPr>
        <w:t>E. 1</w:t>
      </w:r>
    </w:p>
    <w:p>
      <w:r>
        <w:t>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L'assurance en cause dans le litige soumis à la Cour de céans est une assurance perte de gain en cas de maladie. L'indemnité journalière en cas de perte de gain est prévue dans le catalogue de l'assurance maladie facultative, de sorte qu'il existe un lien matériel immédiat avec l'assurance-maladie sociale (JdT 1999 III 106</w:t>
      </w:r>
    </w:p>
    <w:p>
      <w:r>
        <w:t>A/603/2012 - 7/10 - consid. f). Partant, il s’agit d’une assurance complémentaire à l’assurance-maladie et la compétence ratione materiae de la Cour de céans pour juger du cas d’espèce est ainsi établie.</w:t>
      </w:r>
    </w:p>
    <w:p>
      <w:r>
        <w:rPr>
          <w:b/>
        </w:rPr>
        <w:t>E. 2</w:t>
      </w:r>
    </w:p>
    <w:p>
      <w:r>
        <w:t>S'agissant de la compétence ratione loci, il convient de se référer à l'art. 31 du Code de procédure civile lequel prévoit que le Tribunal du domicile ou du siège du défendeur ou celui du lieu où la prestation caractéristique doit être exécutée et compétent pour statuer sur les actions découlant d'un contrat. En l'occurrence, le lieu d'exécution est déterminé par le contrat et à défaut, par l'art. 74 CO. En l'espèce, la prestation caractéristique du contrat étant exécutée à Genève, la Cour est également compétente ratione loci (cf. également art. 23 al. 2 des conditions générales d’assurance [CGA] applicable à l’assurance d’indemnités journalières SALARIA conclue par le demandeur).</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La jurisprudence de la Cour de céans, contestée par la défenderesse, ayant été confirmée par le Tribunal fédéral, il y a lieu de constater que la procédure de conciliation n’est pas requise en l’occurrence et que la demande est bel et bien recevable.</w:t>
      </w:r>
    </w:p>
    <w:p>
      <w:r>
        <w:rPr>
          <w:b/>
        </w:rPr>
        <w:t>E. 4</w:t>
      </w:r>
    </w:p>
    <w:p>
      <w:r>
        <w:t>La loi fédérale sur la surveillance des entreprises d’assurance du 17 décembre 2004 (LSA; RS 961.01) ne contient pas de règles spécifiques concernant les délais relatifs aux contestations de droit privé qui s’élèvent entre les entreprises d’assurance et les assurés. Par conséquent, la demande est également recevable sous cet angle.</w:t>
      </w:r>
    </w:p>
    <w:p>
      <w:r>
        <w:rPr>
          <w:b/>
        </w:rPr>
        <w:t>E. 5</w:t>
      </w:r>
    </w:p>
    <w:p>
      <w:r>
        <w:t>Le litige porte sur le droit du demandeur aux indemnités journalières pour perte de gain au-delà du 27 mai 2011.</w:t>
      </w:r>
    </w:p>
    <w:p>
      <w:r>
        <w:rPr>
          <w:b/>
        </w:rPr>
        <w:t>E. 6</w:t>
      </w:r>
    </w:p>
    <w:p>
      <w:r>
        <w:t>Est réputée maladie au sens des conditions spéciales (CS) applicables toute atteinte à la santé physique ou mentale qui n’est pas due à un accident et qui exige un examen ou un traitement ou provoque une incapacité de travail (art. 3 CS). Lorsque l’assuré se trouve dans une incapacité de travail attestée médicalement, l’assureur verse, en cas d’incapacité totale de travail, l’indemnité journalière assurée correspondant à la perte de gain effective et prouvée (art. 8 al. 1 CS). En cas d’incapacité de travail d’au moins 25%, une indemnité journalière correspondant au degré d’incapacité de travail est versée (art. 8 al. 2 CS).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(art. 9 CS).</w:t>
      </w:r>
    </w:p>
    <w:p>
      <w:r>
        <w:t>A/603/2012 - 8/10 - L’art. 12 CGA prévoit que, pour des traitements à la suite d’une consommation de médicaments, de drogues ou d’alcool, l’assurance ne verse aucune prestation au titre des assurances complémentaires. L’abus de ces produits n’est pas considéré expressément comme une maladie et, partant, ne déclenche pour l’assureur aucune obligation de verser des prestations.</w:t>
      </w:r>
    </w:p>
    <w:p>
      <w:r>
        <w:rPr>
          <w:b/>
        </w:rPr>
        <w:t>E. 7</w:t>
      </w:r>
    </w:p>
    <w:p>
      <w:r>
        <w:t>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cf également ATF 134 V 231 consid 5.1 p. 232). En particulier, il n'est pas exclu que le juge s'écarte des conclusions d'une expertise médicale judiciaire, notamment lorsque d'autres spécialistes émettent des opinions contraires propres à mettre sérieusement en doute la pertinence des déductions de l'expert (ATF 125 V 351 consid. 3b/aa p. 352; arrêt 9C_603/2009 du 2 février 2010 consid. 3.2, in SVR 2010 IV n° 58 p. 177).</w:t>
      </w:r>
    </w:p>
    <w:p>
      <w:r>
        <w:rPr>
          <w:b/>
        </w:rPr>
        <w:t>E. 8</w:t>
      </w:r>
    </w:p>
    <w:p>
      <w:r>
        <w:t>En l’espèce, la défenderesse a considéré que son obligation de prester prenait fin le 27 mai 2011. Elle invoque à cet égard le rapport du Dr M__________ du 13 mai 2011, qui concluait à une capacité de travail totalement recouvrée. Force est cependant de constater que le même expert a nuancé sa position, tant dans son rapport complémentaire du 26 avril 2012 à l’intention de l’AI que dans son rapport du 30 août 2012, puisqu’il a conclu alors une totale capacité de travail en dehors des périodes d’hospitalisation. Qui plus est, il ressort de la lecture des rapports du Dr M__________ qu’il ne justifie pas l’incapacité alors admise par la nécessité d’un sevrage, comme le soutient la défenderesse. Il reconnaît que la consommation a des effets très néfastes sur la dépression et l’anxiété. Il faut en</w:t>
      </w:r>
    </w:p>
    <w:p>
      <w:r>
        <w:t>A/603/2012 - 9/10 - déduire que les hospitalisations en psychiatrie adulte correspondent donc à des périodes d’exacerbation des troubles psychiques, durant lesquelles une incapacité totale de travail doit bien être constatée. On admettra ainsi une totale incapacité de travail du 22 juillet au 15 août 2011, période durant laquelle la défenderesse aurait dû verser ses prestations. En revanche, en dehors de la période du 22 juillet au 15 août 2011, les diagnostics retenus par les psychiatres traitants et par le Dr O__________ (état dépressif de gravité moyenne, anxiété, traits de personnalité) ne s’avèrent pas suffisants pour justifier une incapacité de travail, même partielle. A cet égard, on relèvera que le Dr L__________ a reconnu que si le trouble anxieux a pu se révéler particulièrement massif et le trouble dépressif très grave, la situation s’est améliorée par la suite. Certes, selon le médecin, cette amélioration ne s’est traduite par une augmentation de la capacité de travail qu’au début de l’année 2012, date à compte de laquelle le trouble dépressif est qualifié de « léger ». Cependant, au moment du premier examen par le Dr M__________, l’état dépressif, aux dires des psychiatres traitants eux-mêmes, s’était déjà amélioré puisqu’il était qualifié de gravité moyenne (cf. courrier du Dr N__________ du 28 juin 2011). Par ailleurs, le Dr M__________ a expliqué les raisons pour lesquelles il convenait de nier aux diagnostics retenus par les psychiatres traitants une influence sur la capacité de travail. La Cour suivra donc ses conclusions telles qu’énoncées dans ses deuxième et troisième avis. La demande est donc partiellement admise en ce sens.</w:t>
      </w:r>
    </w:p>
    <w:p>
      <w:r>
        <w:rPr>
          <w:b/>
        </w:rPr>
        <w:t>E. 9</w:t>
      </w:r>
    </w:p>
    <w:p>
      <w:r>
        <w:t>Les cantons sont compétents pour fixer le tarif des frais comprenant les dépens (art. 96 du code de procédure civile [CPC ; RS 272] en relation avec l’art. 95 al. 3 let. b ; cf. également 106 al. 1 CPC). A Genève, le règlement fixant le tarif des frais en matière civile du 22 décembre 2010 (RTFMC ; RS E 1 05.10) détermine notamment le tarif des dépens, applicable aux affaires civiles contentieuses (art. 1 RTFMC). Le demandeur, représenté par un conseil, obtenant partiellement gain de cause, la défenderesse est condamnée à lui verser une indemnité de 1'500 fr. à titre de dépens, TVA et débours inclus (art. 20 de la loi d'application du code civil et du code des obligations du 7 mai 1981 [LaCC ; RS E 1 05]; art. 84 et 85 du RTFMC). Pour le surplus, la procédure est gratuite (art. 114 let. e CPC et 22 al. 3 LaCC).</w:t>
      </w:r>
    </w:p>
    <w:p>
      <w:r>
        <w:t>PAR CES MOTIFS, LA CHAMBRE DES ASSURANCES SOCIALES : Statuant</w:t>
      </w:r>
    </w:p>
    <w:p>
      <w:r>
        <w:t>A/603/2012 - 10/10 -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