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ATAS/6/2025 vom 14. Januar 2025</w:t>
      </w:r>
    </w:p>
    <w:p>
      <w:r>
        <w:t>GE Cour de justice, 2025-01-14, FR</w:t>
      </w:r>
    </w:p>
    <w:p>
      <w:r>
        <w:rPr>
          <w:b/>
        </w:rPr>
        <w:t xml:space="preserve">Quelle: </w:t>
      </w:r>
      <w:r>
        <w:t>https://mcp.opencaselaw.ch/entscheid/ge_gerichte_ATAS_6_2025</w:t>
      </w:r>
    </w:p>
    <w:p>
      <w:r>
        <w:t>FR: GE_GERICHTE ATAS/6/2025 du 14 janvier 2025</w:t>
      </w:r>
    </w:p>
    <w:p>
      <w:r>
        <w:t>IT: GE_GERICHTE ATAS/6/2025 del 14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bien-fondé de la décision de refus de prestations invalidité de l’OAI du 21 février 2024.</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se fonde sur un complexe de fait antérieur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A/1197/2024 - 8/25 -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l'experte, allégation de lourds handicaps malgré un environnement psychosocial intact)</w:t>
      </w:r>
    </w:p>
    <w:p>
      <w:r>
        <w:rPr>
          <w:b/>
        </w:rPr>
        <w:t>E. 4.5</w:t>
      </w:r>
    </w:p>
    <w:p>
      <w:r>
        <w:t>Dans l’affirmative, considérez-vous que cela suffise à exclure une atteinte à la santé significative ?</w:t>
      </w:r>
    </w:p>
    <w:p>
      <w:r>
        <w:t>A/1197/2024 - 23/25 - 5. Limitations fonctionnelles</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A/1197/2024 - 10/25 -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w:t>
      </w:r>
    </w:p>
    <w:p>
      <w:r>
        <w:t>A/1197/2024 - 11/25 -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w:t>
      </w:r>
    </w:p>
    <w:p>
      <w:r>
        <w:t>A/1197/2024 - 12/25 -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A/1197/2024 - 13/25 -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l’assurée sont-elles objectivées ? 6. Traitement</w:t>
      </w:r>
    </w:p>
    <w:p>
      <w:r>
        <w:rPr>
          <w:b/>
        </w:rPr>
        <w:t>E. 6</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w:t>
      </w:r>
    </w:p>
    <w:p>
      <w:r>
        <w:t>A/1197/2024 - 14/25 -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7</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la personnalité ou de ces traits de la personnalité pathologiques sur les limitations éventuelles et sur l'évolution des troubles de la personne expertisée ?</w:t>
      </w:r>
    </w:p>
    <w:p>
      <w:r>
        <w:t>A/1197/2024 - 24/25 -</w:t>
      </w:r>
    </w:p>
    <w:p>
      <w:r>
        <w:rPr>
          <w:b/>
        </w:rPr>
        <w:t>E. 7.4</w:t>
      </w:r>
    </w:p>
    <w:p>
      <w:r>
        <w:t>La personne expertisée se montre-t-elle authentique ou y a-t-il des signes d'exagération des symptômes ou de simulation ? 8. Ressources</w:t>
      </w:r>
    </w:p>
    <w:p>
      <w:r>
        <w:rPr>
          <w:b/>
        </w:rPr>
        <w:t>E. 8</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Cohérence</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l’assurée en indiquant son taux et l’évolution de celui-ci pour chaque diagnostic :</w:t>
      </w:r>
    </w:p>
    <w:p>
      <w:r>
        <w:rPr>
          <w:b/>
        </w:rPr>
        <w:t>E. 9.6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A/1197/2024 - 17/25 -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A/1197/2024 - 18/25 -</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t>A/1197/2024 - 25/25 -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 11. Appréciation d'avis médicaux du dossier</w:t>
      </w:r>
    </w:p>
    <w:p>
      <w:r>
        <w:rPr>
          <w:b/>
        </w:rPr>
        <w:t>E. 11.1</w:t>
      </w:r>
    </w:p>
    <w:p>
      <w:r>
        <w:t>Êtes-vous d’accord avec les avis médicaux du psychiatre B______, du 27 avril 2017 et du 10 avril 2023 ? Si non, pourquoi ?</w:t>
      </w:r>
    </w:p>
    <w:p>
      <w:r>
        <w:rPr>
          <w:b/>
        </w:rPr>
        <w:t>E. 11.2</w:t>
      </w:r>
    </w:p>
    <w:p>
      <w:r>
        <w:t>Êtes-vous d’accord avec l’avis médical de la docteure C______, spécialiste FMH en médecine interne générale, du 8 mai 2023 ? Si non, pourquoi ?</w:t>
      </w:r>
    </w:p>
    <w:p>
      <w:r>
        <w:rPr>
          <w:b/>
        </w:rPr>
        <w:t>E. 11.3</w:t>
      </w:r>
    </w:p>
    <w:p>
      <w:r>
        <w:t>Êtes-vous d'accord avec les conclusions du rapport d’examen clinique psychiatrique du SMR, effectué par le docteur E______, du 30 novembre 2023 ? Si non, pourquoi ? 12. Quel est le pronostic ? 13. Des mesures de réadaptation professionnelle sont-elles, à votre avis, envisageables ? 14. Faire toutes autres observations ou suggestions utiles. E. Invite l’experte à déposer, dans les meilleurs délais, un rapport en trois exemplaires auprès de la chambre de céans. III. Réserve le fond ainsi que le sort des frais jusqu’à droit jugé au fond. La greffière</w:t>
      </w:r>
    </w:p>
    <w:p>
      <w:r>
        <w:t>Véronique SERAIN</w:t>
      </w:r>
    </w:p>
    <w:p>
      <w:r>
        <w:t>Le président</w:t>
      </w:r>
    </w:p>
    <w:p>
      <w:r>
        <w:t>Philippe KNUPFER</w:t>
      </w:r>
    </w:p>
    <w:p>
      <w:r>
        <w:t>Une copie conforme de la présente ordonnance est notifiée aux parties par le greffe le</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w:t>
      </w:r>
    </w:p>
    <w:p>
      <w:r>
        <w:t>A/1197/2024 - 20/25 -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15.1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15.2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w:t>
      </w:r>
    </w:p>
    <w:p>
      <w:r>
        <w:t>A/1197/2024 - 21/25 -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16</w:t>
      </w:r>
    </w:p>
    <w:p>
      <w:r>
        <w:t>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Les appréciations du médecin du SMR ne sont pas jugées probantes par l’assurée, qui relève d’importantes différences entre les appréciations du SMR et celles de son propre médecin psychiatre traitant. Compte tenu des appréciations très différentes des parties et du fait que le rapport du SMR n’a pas valeur d’expertise indépendante, la chambre de céans n’a d’autre choix que d’ordonner une expertise judiciaire et de la confier à la Dre F______, spécialiste FMH en psychiatrie et psychothérapie.</w:t>
      </w:r>
    </w:p>
    <w:p>
      <w:r>
        <w:t>A/1197/2024 - 22/25 - PAR CES MOTIFS, LA CHAMBRE DES ASSURANCES SOCIALES : Statuant préparatoirement I. Ordonne une expertise psychiatrique de Madame A______ et commet, à cette fin, la docteure F______, spécialiste FMH en psychiatrie et psychothérapie, ______ Genève. II. Dit que la mission de l’experte sera la suivante : A. Prendre connaissance du dossier de la cause. B. Si nécessaire, prendre tous renseignements auprès des médecins ayant traité la personne expertisée, voire auprès des membres de sa famille. C. Examiner et entendre la personne expertisée et, si nécessaire, ordonner d’autres examens, en particulier un examen neuropsychologique. D. Charge la Dre F______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Préciser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