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ATAS/6/2023 vom 17. Oktober 2022</w:t>
      </w:r>
    </w:p>
    <w:p>
      <w:r>
        <w:t>GE Cour de justice, 2022-10-17, FR</w:t>
      </w:r>
    </w:p>
    <w:p>
      <w:r>
        <w:rPr>
          <w:b/>
        </w:rPr>
        <w:t xml:space="preserve">Quelle: </w:t>
      </w:r>
      <w:r>
        <w:t>https://mcp.opencaselaw.ch/entscheid/ge_gerichte_ATAS_6_2023</w:t>
      </w:r>
    </w:p>
    <w:p>
      <w:r>
        <w:t>FR: GE_GERICHTE ATAS/6/2023 du 17 octobre 2022</w:t>
      </w:r>
    </w:p>
    <w:p>
      <w:r>
        <w:t>IT: GE_GERICHTE ATAS/6/2023 del 17 ottobre 2022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L’admet.</w:t>
      </w:r>
    </w:p>
    <w:p>
      <w:r>
        <w:rPr>
          <w:b/>
        </w:rPr>
        <w:t>E. 3</w:t>
      </w:r>
    </w:p>
    <w:p>
      <w:r>
        <w:t>Rectifie le point 4 du dispositif de l’arrêt du 17 octobre 2022 (ATAS/921/2022) en ce sens qu’il est renoncé à la perception d’un émolument.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de cette décision et de l’arrêt rectifié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