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ATAS/69/2020 vom 30. Januar 2020</w:t>
      </w:r>
    </w:p>
    <w:p>
      <w:r>
        <w:t>GE Cour de justice, 2020-01-30, FR</w:t>
      </w:r>
    </w:p>
    <w:p>
      <w:r>
        <w:rPr>
          <w:b/>
        </w:rPr>
        <w:t xml:space="preserve">Quelle: </w:t>
      </w:r>
      <w:r>
        <w:t>https://mcp.opencaselaw.ch/entscheid/ge_gerichte_ATAS_69_2020</w:t>
      </w:r>
    </w:p>
    <w:p>
      <w:r>
        <w:t>FR: GE_GERICHTE ATAS/69/2020 du 30 janvier 2020</w:t>
      </w:r>
    </w:p>
    <w:p>
      <w:r>
        <w:t>IT: GE_GERICHTE ATAS/69/2020 del 30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de la suspension de vingt jours du droit aux indemnités infligée par l'intimée à la recourante pour avoir démissionné de son poste de travail pendant le temps d'essai sans s'être préalablement assurée d'un autre emploi.</w:t>
      </w:r>
    </w:p>
    <w:p>
      <w:r>
        <w:rPr>
          <w:b/>
        </w:rPr>
        <w:t>E. 4</w:t>
      </w:r>
    </w:p>
    <w:p>
      <w:r>
        <w:t>a. 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Ce motif de suspension s'applique aussi à une résiliation durant le temps d'essai. Il s'applique également lorsque l'assuré avait trouvé lui-même l'emploi qu'il décide ensuite de quitter. Cette circonstance n'atténue pas sa faute (Boris RUBIN, Commentaire de la loi sur l'assurance-chômage, 2014, p. 309, n°32 et les références citées). b.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8C_316/2007 du 16 avril 2008 consid. 2.1.2).</w:t>
      </w:r>
    </w:p>
    <w:p>
      <w:r>
        <w:t>A/1734/2019 - 6/12 - c. Pour qu'un assuré puisse être sanctionné en vertu de l'art. 44 al. 1 let. b OACI, trois conditions doivent être réunies. Il faut premièrement que l'assuré ait donné lui- même son congé. Il importe ensuite qu'au moment de résilier son contrat de travail, l'assuré n'ait pas eu d'assurance préalable d'un nouvel emploi. Enfin, il faut qu'aucune circonstance ne se soit opposée à la poursuite des rapports de travail (critère de l'exigibilité). Dans le cadre de l'art. 44 al. 1 let. b OACI, l'emploi quitté est présumé convenable, de sorte que la continuation des rapports est réputée exigible. Cette présomption est susceptible d'être renversée et il sied de ne pas se montrer trop strict quant à la preuve qui incombe alors à l'assuré. Cela étant, c'est de façon restrictive qu'il convient de trancher la question de savoir si l'on pouvait raisonnablement exiger du travailleur qu'il conserve son emploi (Boris RUBIN, op. cit., p. 309, n°33 à 37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au sens de l'art. 337 loi fédérale du 30 mars 1911, complétant le Code civil suisse (CO, Code des obligations - RS 220) (arrêt du Tribunal fédéral 8C_285/2013 du 11 février 2014 consid. 4.1 et les références citées). d. Aux termes de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 doit être accompli dans une entreprise où le cours ordinaire du travail est perturbé en raison d’un conflit collectif de travail (let. e)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exige du travailleur une disponibilité sur appel constante dépassant le cadre de l’occupation garantie (let. g) ; doit être exécuté dans une entreprise qui a procédé à des licenciements aux fins de réengagement ou à de nouveaux engagements à des conditions nettement plus précaires (let. h) ; ou procure à l’assuré une rémunération qui est inférieure à 70 % du gain assuré, sauf si l’assuré touche des indemnités compensatoires conformément à l’art. 24 (gain intermédiaire); l’office régional de</w:t>
      </w:r>
    </w:p>
    <w:p>
      <w:r>
        <w:t>A/1734/2019 - 7/12 - placement peut exceptionnellement, avec l’approbation de la commission tripartite, déclarer convenable un travail dont la rémunération est inférieure à 70 % du gain assuré (let. i). En conséquence, un travail est réputé convenable si toutes les conditions énoncées à l'art. 16 al. 2 let. a à i LACI sont exclues cumulativement (ATF 124 V 62 consid. 3b ; cf. également arrêt du Tribunal fédéral des assurances C 239/00 du 18 octobre 2000 consid. 1a). e. S'agissant en particulier de l'art. 16 al. 2 let. b LACI, n'est pas convenable un travail qui ne tient pas raisonnablement compte des aptitudes de l'assuré ou de l'activité qu'il exerçait précédemment. La notion d'aptitudes englobe les capacités physiques, mentales et professionnelles. Est réputé convenable un travail qui n'est pas à la hauteur des aptitudes de l'assuré, mais non un travail qui le dépasse (cf. Secrétariat d'Etat à l'économie (SECO) - Bulletin LACI IC / B 285). On rappellera toutefois que l'assuré qui fait valoir des prestations d'assurance doit chercher du travail, au besoin en dehors de la profession qu'il exerçait précédemment (art. 17 al. 1 LACI). Ainsi, un assuré ayant refusé une assignation au motif qu'il ne possédait pas les « très bonnes connaissances linguistiques » requises pour un poste, a été considéré comme fautif, dès lors qu'il possédait un diplôme universitaire et de nombreuses années d'expérience dans le secteur de l'assurance-vie. Bien qu'en dessous de ses compétences, il ne pouvait considérer ce poste comme non convenable et était tenu de l'accepter (arrêt du Tribunal fédéral des assurances C 130/03 du 6 février 2004 consid. 2.2 et 2.4). Le Tribunal fédéral des assurances a également retenu qu'un assuré ne pouvait se prévaloir du fait qu'un emploi n'était pas convenable au motif qu'il occupait une position subordonnée à son précédent poste. En effet, il n'était pas établi que l'intéressé était au bénéfice d'une qualification spécifique pour le premier travail qu'il n'avait occupé que huit mois. Dès lors, il devait être considéré comme convenable tant à l'égard de ses aptitudes que de l'ancien emploi occupé (arrêt du Tribunal fédéral des assurances C 133/03 du 29 octobre 2003 consid. 3.3 et 3.4). f. Il sied de préciser que l'exigibilité de la continuation des rapports de travail est examinée plus sévèrement que le caractère convenable d'un emploi au sens de l'art. 16 LACI. Les conditions fixées par l'art. 16 LACI n'en constituent pas moins des éléments d'appréciation importants du critère d'exigibilité. On pense notamment ici à la situation personnelle protégée par l'al. 2 let. c de cette disposition (âge, situation personnelle, santé), à l'inadéquation manifeste entre les exigences du poste et la formation ou l'expérience professionnelle du travailleur (art. 16 al. 2 let. b et d LACI) ou au temps de déplacement maximal exigible fixé par l'al. 2 let. f (Boris RUBIN, op. cit., p. 310, n°37 et les références citées).</w:t>
      </w:r>
    </w:p>
    <w:p>
      <w:r>
        <w:rPr>
          <w:b/>
        </w:rPr>
        <w:t>E. 5</w:t>
      </w:r>
    </w:p>
    <w:p>
      <w:r>
        <w:t>En ce qui concerne la preuve, le juge des assurances sociales fonde sa décision, sauf dispositions contraires de la loi, sur les faits qui, faute d'être établis de manière</w:t>
      </w:r>
    </w:p>
    <w:p>
      <w:r>
        <w:t>A/1734/2019 - 8/12 -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l'intimée a considéré que la recourante était responsable de sa situation de chômage, raison pour laquelle elle lui a infligé une suspension de vingt jours du droit aux indemnités. Il n’est pas contesté que la recourante a démissionné de son emploi de vendeuse auprès de B______ AG, sans s’être préalablement assuré un nouvel emploi, ce qu’elle justifie par le malaise ressenti en raison de son manque de formation et d'expérience pour le poste, confirmé par les remarques qui lui ont été faites lors de l'entretien du 3 janvier 2019. Elle allègue que la situation serait devenue insupportable pour elle et que, dès lors, ce travail n'était pas convenable. La Cour de céans relève que la recourante a postulé de son propre chef pour cet emploi, sachant quelles étaient les exigences de formation et d'expérience requises, puisqu'elles figuraient dans l'annonce. À teneur de son curriculum vitae - intitulé d’ailleurs « conseillère de vente » - la recourante avait déjà travaillé comme vendeuse en 1998, puis en tant qu'agente d'accueil pendant cinq ans en 2011. Les tâches de « réception, information, assistance et orientation clientèle (…) ; contrôle et réception des commandes, gestion du stock, inventaire ; agencement et mise en valeur de la marchandise, étiquetage ; (…) encaissement » étaient listées parmi ses compétences professionnelles. Vu la similarité du poste avec ses précédentes expériences - en particulier celles d'agente d'accueil et de vendeuse - la recourante ne saurait se prévaloir du fait que « le métier de la vente ne s’improvise pas et nécessite une formation spécifique ». Ce d'autant que, selon l'art. 17 al.1 LACI, un assuré doit également chercher du travail en dehors de la profession qu'il exerçait précédemment. Une liste de points à améliorer lui a été communiquée à l'issue de son entretien du 3 janvier 2019. Les efforts à fournir jusqu'au terme de sa période d'essai lui étaient donc connus et ne paraissaient objectivement pas insurmontables pour une personne au bénéfice d'un cursus universitaire et des compétences professionnelles susmentionnées. Enfin, rien dans les propos de son employeur ne laissait présager</w:t>
      </w:r>
    </w:p>
    <w:p>
      <w:r>
        <w:t>A/1734/2019 - 9/12 - qu'il ne l'aurait pas gardée au terme de sa période d'essai, moyennant les efforts demandés. Interrogée par la Cour de céans quant à savoir si son état avait nécessité qu'elle consulte un médecin, la recourante a répondu par la négative, de sorte qu'on ne peut retenir l'existence de ses insomnies comme dûment établie. Une éventuelle incompatibilité avec son état de santé n'a donc pas à être examinée plus avant. Dès lors, s’il ne correspondait pas exactement au profil de la recourante, le poste litigieux ne saurait être qualifié de non convenable pour autant. Dès lors, on pouvait exiger de l’intéressée - qui affirme n'avoir jamais cessé de chercher un emploi pendant cette période - qu’elle conserve son poste jusqu'à ce qu'elle en trouve un autre. En d’autres termes, la continuation des rapports de travail était exigible. Dans ces conditions, c'est à bon droit que l'intimée a retenu que les éléments constitutifs d'un chômage fautif étaient réunis en l'espèce (art. 30 al. 1 let. a LACI cum 44 al. 1 let. b OACI).</w:t>
      </w:r>
    </w:p>
    <w:p>
      <w:r>
        <w:rPr>
          <w:b/>
        </w:rPr>
        <w:t>E. 7</w:t>
      </w:r>
    </w:p>
    <w:p>
      <w:r>
        <w:t>Reste à déterminer si la durée de la suspension est également bien-fondée. a. L'art. 30 al. 3 LACI prévoit notamment que la durée de la suspension est proportionnelle à la gravité de la faute. En vertu de l'art. 45 OACI, la suspension dure d'un à quinze jours en cas de faute légère (al. 3 let. a), de seize à trente jours en cas de faute de gravité moyenne (al. 3 let. b) et de trente-et-un à soixante jours en cas de faute grave (al. 3 let. c). Il y a faute grave lorsque, sans motif valable, l'assuré abandonne un emploi réputé convenable sans être assuré d'obtenir un nouvel emploi (al. 4 let. a) ou qu'il refuse un emploi réputé convenable (al. 4 let. b) ; demeurent toutefois réservées des circonstances particulières faisant apparaître, dans le cas concret, la faute comme plus légère (arrêt du Tribunal fédéral des assurances C 142/06 du 3 juillet 2007 consid. 3). Dans un arrêt non publié du 15 février 1999 (C 226/98) relatif à une résiliation de contrat de travail survenue pendant le temps d'essai, le Tribunal fédéral des assurances a considéré que, dans les cas de suspension pour le motif prévu à l’art. 44 al. 1 let. b OACI, l’art. 45 al. 3 OACI ne constituait qu’un principe dont l’administration et le juge des assurances pouvaient s’écarter lorsque les circonstances particulières du cas d’espèce le justifiaient. Dans ce sens, le pouvoir d’appréciation de l’une et de l’autre n’est pas limité à la durée minimum de suspension fixée pour les cas de faute grave. Aussi bien l’administration que le juge ont la possibilité d’infliger une sanction moins sévère (cf. ATAS/811/2011 du 1er septembre 2011). En tout état, si l'assuré est suspendu de façon répétée dans son droit à l'indemnité, la durée de suspension est prolongée en conséquence. Les suspensions subies pendant les deux dernières années sont prises en compte dans le calcul de la prolongation (al. 5).</w:t>
      </w:r>
    </w:p>
    <w:p>
      <w:r>
        <w:t>A/1734/2019 - 10/12 - b.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citées).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 arrêt du Tribunal fédéral 8C_73/2013 du 29 août 2013 consid. 5.2). Pour la détermination de la faute individuelle et de la quotité de la suspension dans le domaine de la faute grave il faut partir, selon le Tribunal fédéral, du milieu de la fourchette de trente-et-un à soixante jours (art. 45, al. 3, let. c OACI), soit quarante- cinq jours, et tenir compte des facteurs aggravants, atténuants et du principe de proportionnalité (ATF 123 V 153). Ce principe doit également s’appliquer en cas de faute légère et moyenne (art. 45, al. 3, let, a et b OACI) (cf. bulletin LACI IC / D 77). Il résulte de l’échelle des suspensions établie par le SECO que lorsque l’assuré a résilié son contrat de travail pendant le temps d'essai, sans motif valable, sa faute est considérée comme moyenne, de sorte que l'autorité doit lui infliger une sanction de seize à trente jours (cf. bulletin LACI IC / D 75 1H n°2) d.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 D 64). Le comportement général de la personne assurée doit également être pris en considération. Lorsque la suspension infligée s'écarte de ladite échelle, l'autorité qui la prononce doit assortir sa décision</w:t>
      </w:r>
    </w:p>
    <w:p>
      <w:r>
        <w:t>A/1734/2019 - 11/12 - d'un exposé des motifs justifiant sa sévérité ou sa clémence particulière (Bulletin LACI IC / D 72).</w:t>
      </w:r>
    </w:p>
    <w:p>
      <w:r>
        <w:rPr>
          <w:b/>
        </w:rPr>
        <w:t>E. 8</w:t>
      </w:r>
    </w:p>
    <w:p>
      <w:r>
        <w:t>En l'espèce, la recourante a résilié son contrat de travail de sa propre initiative, sans motif valable et sans s'assurer préalablement un autre emploi. L'emploi quitté étant réputé convenable, sa faute doit être considérée comme grave au sens de l'art. 45 al. 4 let. a OACI. Il sied néanmoins de relever que l'intéressée a donné sa démission pendant son temps d'essai, ce qui est de nature à atténuer sa faute et la considérer comme moyenne selon l’échelle des suspensions établie par le SECO (cf. bulletin LACI IC/ D 75 1H n°2). Une suspension de vingt jours, dans la fourchette médiane de la faute moyenne, apparaît justifiée dans la mesure où il s'agit du premier manquement de l'intéressée. Dès lors, l'intimée n'a pas excédé son pouvoir d'appréciation en fixant la quotité de la sanction. Partant, le recours, mal fondé, est rejeté. Pour le surplus, la procédure est gratuite (art. 61 let. a LPGA).</w:t>
      </w:r>
    </w:p>
    <w:p>
      <w:r>
        <w:t>A/1734/2019 - 12/12 -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